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sz w:val="22"/>
          <w:szCs w:val="22"/>
        </w:rPr>
      </w:pPr>
      <w:r>
        <w:rPr>
          <w:rFonts w:hint="eastAsia" w:ascii="微软雅黑" w:hAnsi="微软雅黑" w:eastAsia="微软雅黑"/>
          <w:sz w:val="22"/>
          <w:szCs w:val="22"/>
        </w:rPr>
        <w:t>新闻稿</w:t>
      </w:r>
    </w:p>
    <w:p>
      <w:pPr>
        <w:rPr>
          <w:rFonts w:ascii="微软雅黑" w:hAnsi="微软雅黑" w:eastAsia="微软雅黑"/>
          <w:sz w:val="22"/>
          <w:szCs w:val="22"/>
        </w:rPr>
      </w:pPr>
      <w:r>
        <w:rPr>
          <w:rFonts w:ascii="微软雅黑" w:hAnsi="微软雅黑" w:eastAsia="微软雅黑"/>
          <w:sz w:val="22"/>
          <w:szCs w:val="22"/>
        </w:rPr>
        <w:t>2021年</w:t>
      </w:r>
      <w:r>
        <w:rPr>
          <w:rFonts w:hint="eastAsia" w:ascii="微软雅黑" w:hAnsi="微软雅黑" w:eastAsia="微软雅黑"/>
          <w:sz w:val="22"/>
          <w:szCs w:val="22"/>
        </w:rPr>
        <w:t>5</w:t>
      </w:r>
      <w:r>
        <w:rPr>
          <w:rFonts w:ascii="微软雅黑" w:hAnsi="微软雅黑" w:eastAsia="微软雅黑"/>
          <w:sz w:val="22"/>
          <w:szCs w:val="22"/>
        </w:rPr>
        <w:t>月</w:t>
      </w:r>
      <w:r>
        <w:rPr>
          <w:rFonts w:hint="eastAsia" w:ascii="微软雅黑" w:hAnsi="微软雅黑" w:eastAsia="微软雅黑"/>
          <w:sz w:val="22"/>
          <w:szCs w:val="22"/>
        </w:rPr>
        <w:t>2</w:t>
      </w:r>
      <w:r>
        <w:rPr>
          <w:rFonts w:hint="default" w:ascii="微软雅黑" w:hAnsi="微软雅黑" w:eastAsia="微软雅黑"/>
          <w:sz w:val="22"/>
          <w:szCs w:val="22"/>
        </w:rPr>
        <w:t>1</w:t>
      </w:r>
      <w:r>
        <w:rPr>
          <w:rFonts w:ascii="微软雅黑" w:hAnsi="微软雅黑" w:eastAsia="微软雅黑"/>
          <w:sz w:val="22"/>
          <w:szCs w:val="22"/>
        </w:rPr>
        <w:t>日</w:t>
      </w:r>
    </w:p>
    <w:p>
      <w:pPr>
        <w:jc w:val="center"/>
        <w:rPr>
          <w:rFonts w:ascii="微软雅黑" w:hAnsi="微软雅黑" w:eastAsia="微软雅黑"/>
          <w:b/>
          <w:sz w:val="28"/>
          <w:szCs w:val="28"/>
        </w:rPr>
      </w:pPr>
      <w:r>
        <w:rPr>
          <w:rFonts w:hint="eastAsia" w:ascii="微软雅黑" w:hAnsi="微软雅黑" w:eastAsia="微软雅黑"/>
          <w:b/>
          <w:bCs/>
          <w:sz w:val="28"/>
          <w:szCs w:val="28"/>
        </w:rPr>
        <w:t>借</w:t>
      </w:r>
      <w:r>
        <w:rPr>
          <w:rFonts w:ascii="微软雅黑" w:hAnsi="微软雅黑" w:eastAsia="微软雅黑"/>
          <w:b/>
          <w:bCs/>
          <w:sz w:val="28"/>
          <w:szCs w:val="28"/>
        </w:rPr>
        <w:t>“</w:t>
      </w:r>
      <w:r>
        <w:rPr>
          <w:rFonts w:hint="eastAsia" w:ascii="微软雅黑" w:hAnsi="微软雅黑" w:eastAsia="微软雅黑"/>
          <w:b/>
          <w:bCs/>
          <w:sz w:val="28"/>
          <w:szCs w:val="28"/>
        </w:rPr>
        <w:t>大风口</w:t>
      </w:r>
      <w:r>
        <w:rPr>
          <w:rFonts w:ascii="微软雅黑" w:hAnsi="微软雅黑" w:eastAsia="微软雅黑"/>
          <w:b/>
          <w:bCs/>
          <w:sz w:val="28"/>
          <w:szCs w:val="28"/>
        </w:rPr>
        <w:t>”</w:t>
      </w:r>
      <w:r>
        <w:rPr>
          <w:rFonts w:hint="eastAsia" w:ascii="微软雅黑" w:hAnsi="微软雅黑" w:eastAsia="微软雅黑"/>
          <w:b/>
          <w:bCs/>
          <w:sz w:val="28"/>
          <w:szCs w:val="28"/>
        </w:rPr>
        <w:t>乘势而上</w:t>
      </w:r>
      <w:r>
        <w:rPr>
          <w:rFonts w:hint="eastAsia" w:ascii="微软雅黑" w:hAnsi="微软雅黑" w:eastAsia="微软雅黑"/>
          <w:b/>
          <w:sz w:val="28"/>
          <w:szCs w:val="28"/>
        </w:rPr>
        <w:t xml:space="preserve"> 爱驰汽车首</w:t>
      </w:r>
      <w:r>
        <w:rPr>
          <w:rFonts w:hint="default" w:ascii="微软雅黑" w:hAnsi="微软雅黑" w:eastAsia="微软雅黑"/>
          <w:b/>
          <w:sz w:val="28"/>
          <w:szCs w:val="28"/>
        </w:rPr>
        <w:t>座</w:t>
      </w:r>
      <w:r>
        <w:rPr>
          <w:rFonts w:hint="eastAsia" w:ascii="微软雅黑" w:hAnsi="微软雅黑" w:eastAsia="微软雅黑"/>
          <w:b/>
          <w:sz w:val="28"/>
          <w:szCs w:val="28"/>
        </w:rPr>
        <w:t>换电站及</w:t>
      </w:r>
      <w:r>
        <w:rPr>
          <w:rFonts w:ascii="微软雅黑" w:hAnsi="微软雅黑" w:eastAsia="微软雅黑"/>
          <w:b/>
          <w:sz w:val="28"/>
          <w:szCs w:val="28"/>
        </w:rPr>
        <w:t>U5换电车型投入试运营</w:t>
      </w:r>
    </w:p>
    <w:p>
      <w:pPr>
        <w:jc w:val="center"/>
        <w:rPr>
          <w:rFonts w:ascii="微软雅黑" w:hAnsi="微软雅黑" w:eastAsia="微软雅黑"/>
          <w:sz w:val="28"/>
          <w:szCs w:val="28"/>
        </w:rPr>
      </w:pPr>
    </w:p>
    <w:p>
      <w:pPr>
        <w:ind w:firstLine="440" w:firstLineChars="200"/>
        <w:jc w:val="left"/>
        <w:rPr>
          <w:rFonts w:hint="eastAsia" w:ascii="微软雅黑" w:hAnsi="微软雅黑" w:eastAsia="微软雅黑"/>
          <w:sz w:val="22"/>
          <w:szCs w:val="22"/>
        </w:rPr>
      </w:pPr>
      <w:r>
        <w:rPr>
          <w:rFonts w:hint="eastAsia" w:ascii="微软雅黑" w:hAnsi="微软雅黑" w:eastAsia="微软雅黑"/>
          <w:sz w:val="22"/>
          <w:szCs w:val="22"/>
        </w:rPr>
        <w:t>顺应能源变革趋势，把握换电风口，爱驰汽车依托完善的产品体系与成熟的技术储备，</w:t>
      </w:r>
      <w:r>
        <w:rPr>
          <w:rFonts w:hint="default" w:ascii="微软雅黑" w:hAnsi="微软雅黑" w:eastAsia="微软雅黑"/>
          <w:sz w:val="22"/>
          <w:szCs w:val="22"/>
        </w:rPr>
        <w:t>打造全新的“</w:t>
      </w:r>
      <w:r>
        <w:rPr>
          <w:rFonts w:hint="eastAsia" w:ascii="微软雅黑" w:hAnsi="微软雅黑" w:eastAsia="微软雅黑"/>
          <w:sz w:val="22"/>
          <w:szCs w:val="22"/>
        </w:rPr>
        <w:t>C端充电，B端换电</w:t>
      </w:r>
      <w:r>
        <w:rPr>
          <w:rFonts w:hint="default" w:ascii="微软雅黑" w:hAnsi="微软雅黑" w:eastAsia="微软雅黑"/>
          <w:sz w:val="22"/>
          <w:szCs w:val="22"/>
        </w:rPr>
        <w:t>”的商业模式</w:t>
      </w:r>
      <w:r>
        <w:rPr>
          <w:rFonts w:hint="eastAsia" w:ascii="微软雅黑" w:hAnsi="微软雅黑" w:eastAsia="微软雅黑"/>
          <w:sz w:val="22"/>
          <w:szCs w:val="22"/>
        </w:rPr>
        <w:t>。5月20日，爱驰汽车首个换电站及爱驰U5换电车型投入</w:t>
      </w:r>
      <w:r>
        <w:rPr>
          <w:rFonts w:hint="default" w:ascii="微软雅黑" w:hAnsi="微软雅黑" w:eastAsia="微软雅黑"/>
          <w:sz w:val="22"/>
          <w:szCs w:val="22"/>
        </w:rPr>
        <w:t>试运营</w:t>
      </w:r>
      <w:r>
        <w:rPr>
          <w:rFonts w:hint="eastAsia" w:ascii="微软雅黑" w:hAnsi="微软雅黑" w:eastAsia="微软雅黑"/>
          <w:sz w:val="22"/>
          <w:szCs w:val="22"/>
        </w:rPr>
        <w:t>，截止目前已收获600台换电U5车型订单，首批车辆将投入共享出行市场，助力新能源汽车产业快速突破瓶颈，实现纯电动运营车辆的高效运营，打造新能源共享出行换电新生态。</w:t>
      </w:r>
    </w:p>
    <w:p>
      <w:pPr>
        <w:ind w:firstLine="440" w:firstLineChars="200"/>
        <w:jc w:val="left"/>
        <w:rPr>
          <w:rFonts w:hint="eastAsia" w:ascii="微软雅黑" w:hAnsi="微软雅黑" w:eastAsia="微软雅黑"/>
          <w:sz w:val="22"/>
          <w:szCs w:val="22"/>
        </w:rPr>
      </w:pPr>
      <w:r>
        <w:rPr>
          <w:rFonts w:hint="eastAsia" w:ascii="微软雅黑" w:hAnsi="微软雅黑" w:eastAsia="微软雅黑"/>
          <w:sz w:val="22"/>
          <w:szCs w:val="22"/>
        </w:rPr>
        <w:drawing>
          <wp:inline distT="0" distB="0" distL="0" distR="0">
            <wp:extent cx="5578475" cy="3135630"/>
            <wp:effectExtent l="0" t="0" r="317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screen"/>
                    <a:stretch>
                      <a:fillRect/>
                    </a:stretch>
                  </pic:blipFill>
                  <pic:spPr>
                    <a:xfrm>
                      <a:off x="0" y="0"/>
                      <a:ext cx="5590029" cy="3142631"/>
                    </a:xfrm>
                    <a:prstGeom prst="rect">
                      <a:avLst/>
                    </a:prstGeom>
                  </pic:spPr>
                </pic:pic>
              </a:graphicData>
            </a:graphic>
          </wp:inline>
        </w:drawing>
      </w:r>
    </w:p>
    <w:p>
      <w:pPr>
        <w:ind w:firstLine="440" w:firstLineChars="200"/>
        <w:rPr>
          <w:rFonts w:ascii="微软雅黑" w:hAnsi="微软雅黑" w:eastAsia="微软雅黑"/>
          <w:sz w:val="22"/>
          <w:szCs w:val="22"/>
        </w:rPr>
      </w:pPr>
      <w:r>
        <w:rPr>
          <w:rFonts w:hint="eastAsia" w:ascii="微软雅黑" w:hAnsi="微软雅黑" w:eastAsia="微软雅黑"/>
          <w:sz w:val="22"/>
          <w:szCs w:val="22"/>
        </w:rPr>
        <w:t>今年4月</w:t>
      </w:r>
      <w:r>
        <w:rPr>
          <w:rFonts w:hint="default" w:ascii="微软雅黑" w:hAnsi="微软雅黑" w:eastAsia="微软雅黑"/>
          <w:sz w:val="22"/>
          <w:szCs w:val="22"/>
        </w:rPr>
        <w:t>，爱驰</w:t>
      </w:r>
      <w:r>
        <w:rPr>
          <w:rFonts w:hint="eastAsia" w:ascii="微软雅黑" w:hAnsi="微软雅黑" w:eastAsia="微软雅黑"/>
          <w:sz w:val="22"/>
          <w:szCs w:val="22"/>
        </w:rPr>
        <w:t>已与蓝谷智慧能源达成合作，</w:t>
      </w:r>
      <w:r>
        <w:rPr>
          <w:rFonts w:hint="default" w:ascii="微软雅黑" w:hAnsi="微软雅黑" w:eastAsia="微软雅黑"/>
          <w:sz w:val="22"/>
          <w:szCs w:val="22"/>
        </w:rPr>
        <w:t>双方</w:t>
      </w:r>
      <w:r>
        <w:rPr>
          <w:rFonts w:hint="eastAsia" w:ascii="微软雅黑" w:hAnsi="微软雅黑" w:eastAsia="微软雅黑"/>
          <w:sz w:val="22"/>
          <w:szCs w:val="22"/>
        </w:rPr>
        <w:t>就换电车型开发、换电技术研发、换电站设备生产与销售、大数据运营、品牌合作与推广等业务展开合作</w:t>
      </w:r>
      <w:r>
        <w:rPr>
          <w:rFonts w:hint="default" w:ascii="微软雅黑" w:hAnsi="微软雅黑" w:eastAsia="微软雅黑"/>
          <w:sz w:val="22"/>
          <w:szCs w:val="22"/>
        </w:rPr>
        <w:t>，共同研发，共同运营</w:t>
      </w:r>
      <w:r>
        <w:rPr>
          <w:rFonts w:hint="eastAsia" w:ascii="微软雅黑" w:hAnsi="微软雅黑" w:eastAsia="微软雅黑"/>
          <w:sz w:val="22"/>
          <w:szCs w:val="22"/>
        </w:rPr>
        <w:t>。随着爱驰首</w:t>
      </w:r>
      <w:r>
        <w:rPr>
          <w:rFonts w:hint="default" w:ascii="微软雅黑" w:hAnsi="微软雅黑" w:eastAsia="微软雅黑"/>
          <w:sz w:val="22"/>
          <w:szCs w:val="22"/>
        </w:rPr>
        <w:t>座</w:t>
      </w:r>
      <w:r>
        <w:rPr>
          <w:rFonts w:hint="eastAsia" w:ascii="微软雅黑" w:hAnsi="微软雅黑" w:eastAsia="微软雅黑"/>
          <w:sz w:val="22"/>
          <w:szCs w:val="22"/>
        </w:rPr>
        <w:t>换电站及</w:t>
      </w:r>
      <w:r>
        <w:rPr>
          <w:rFonts w:ascii="微软雅黑" w:hAnsi="微软雅黑" w:eastAsia="微软雅黑"/>
          <w:sz w:val="22"/>
          <w:szCs w:val="22"/>
        </w:rPr>
        <w:t>U5换电车型投入试运营</w:t>
      </w:r>
      <w:r>
        <w:rPr>
          <w:rFonts w:hint="eastAsia" w:ascii="微软雅黑" w:hAnsi="微软雅黑" w:eastAsia="微软雅黑"/>
          <w:sz w:val="22"/>
          <w:szCs w:val="22"/>
        </w:rPr>
        <w:t>，</w:t>
      </w:r>
      <w:r>
        <w:rPr>
          <w:rFonts w:hint="default" w:ascii="微软雅黑" w:hAnsi="微软雅黑" w:eastAsia="微软雅黑"/>
          <w:sz w:val="22"/>
          <w:szCs w:val="22"/>
        </w:rPr>
        <w:t>预计</w:t>
      </w:r>
      <w:r>
        <w:rPr>
          <w:rFonts w:hint="eastAsia" w:ascii="微软雅黑" w:hAnsi="微软雅黑" w:eastAsia="微软雅黑"/>
          <w:sz w:val="22"/>
          <w:szCs w:val="22"/>
        </w:rPr>
        <w:t>在未来3年内</w:t>
      </w:r>
      <w:r>
        <w:rPr>
          <w:rFonts w:hint="default" w:ascii="微软雅黑" w:hAnsi="微软雅黑" w:eastAsia="微软雅黑"/>
          <w:sz w:val="22"/>
          <w:szCs w:val="22"/>
        </w:rPr>
        <w:t>将</w:t>
      </w:r>
      <w:r>
        <w:rPr>
          <w:rFonts w:hint="eastAsia" w:ascii="微软雅黑" w:hAnsi="微软雅黑" w:eastAsia="微软雅黑"/>
          <w:sz w:val="22"/>
          <w:szCs w:val="22"/>
        </w:rPr>
        <w:t>投放车辆不少于20000辆换电车型，实现</w:t>
      </w:r>
      <w:r>
        <w:rPr>
          <w:rFonts w:hint="default" w:ascii="微软雅黑" w:hAnsi="微软雅黑" w:eastAsia="微软雅黑"/>
          <w:sz w:val="22"/>
          <w:szCs w:val="22"/>
        </w:rPr>
        <w:t>在</w:t>
      </w:r>
      <w:r>
        <w:rPr>
          <w:rFonts w:hint="eastAsia" w:ascii="微软雅黑" w:hAnsi="微软雅黑" w:eastAsia="微软雅黑"/>
          <w:sz w:val="22"/>
          <w:szCs w:val="22"/>
        </w:rPr>
        <w:t>17个城市建成至少200座换电站</w:t>
      </w:r>
      <w:r>
        <w:rPr>
          <w:rFonts w:hint="default" w:ascii="微软雅黑" w:hAnsi="微软雅黑" w:eastAsia="微软雅黑"/>
          <w:sz w:val="22"/>
          <w:szCs w:val="22"/>
        </w:rPr>
        <w:t>的目标</w:t>
      </w:r>
      <w:r>
        <w:rPr>
          <w:rFonts w:hint="eastAsia" w:ascii="微软雅黑" w:hAnsi="微软雅黑" w:eastAsia="微软雅黑"/>
          <w:sz w:val="22"/>
          <w:szCs w:val="22"/>
        </w:rPr>
        <w:t>。</w:t>
      </w:r>
    </w:p>
    <w:p>
      <w:pPr>
        <w:ind w:firstLine="440" w:firstLineChars="200"/>
        <w:jc w:val="left"/>
        <w:rPr>
          <w:rFonts w:hint="eastAsia" w:ascii="微软雅黑" w:hAnsi="微软雅黑" w:eastAsia="微软雅黑"/>
          <w:sz w:val="22"/>
          <w:szCs w:val="22"/>
          <w:lang w:eastAsia="zh-Hans"/>
        </w:rPr>
      </w:pPr>
    </w:p>
    <w:p>
      <w:pPr>
        <w:ind w:firstLine="440" w:firstLineChars="200"/>
        <w:rPr>
          <w:rFonts w:ascii="微软雅黑" w:hAnsi="微软雅黑" w:eastAsia="微软雅黑"/>
          <w:sz w:val="22"/>
          <w:szCs w:val="22"/>
        </w:rPr>
      </w:pPr>
    </w:p>
    <w:p>
      <w:pPr>
        <w:jc w:val="center"/>
        <w:rPr>
          <w:rFonts w:ascii="微软雅黑" w:hAnsi="微软雅黑" w:eastAsia="微软雅黑"/>
          <w:sz w:val="22"/>
        </w:rPr>
      </w:pPr>
      <w:r>
        <w:drawing>
          <wp:inline distT="0" distB="0" distL="0" distR="0">
            <wp:extent cx="4938395" cy="3260725"/>
            <wp:effectExtent l="0" t="0" r="0" b="0"/>
            <wp:docPr id="8" name="图片 8" descr="D:\Program Files\WXWork\work\WXWork\1688853103207574\Cache\Image\2021-05\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Program Files\WXWork\work\WXWork\1688853103207574\Cache\Image\2021-05\009(1).jpg"/>
                    <pic:cNvPicPr>
                      <a:picLocks noChangeAspect="1" noChangeArrowheads="1"/>
                    </pic:cNvPicPr>
                  </pic:nvPicPr>
                  <pic:blipFill>
                    <a:blip r:embed="rId7" cstate="screen"/>
                    <a:srcRect/>
                    <a:stretch>
                      <a:fillRect/>
                    </a:stretch>
                  </pic:blipFill>
                  <pic:spPr>
                    <a:xfrm>
                      <a:off x="0" y="0"/>
                      <a:ext cx="4948528" cy="3267227"/>
                    </a:xfrm>
                    <a:prstGeom prst="rect">
                      <a:avLst/>
                    </a:prstGeom>
                    <a:noFill/>
                    <a:ln>
                      <a:noFill/>
                    </a:ln>
                  </pic:spPr>
                </pic:pic>
              </a:graphicData>
            </a:graphic>
          </wp:inline>
        </w:drawing>
      </w:r>
    </w:p>
    <w:p>
      <w:pPr>
        <w:ind w:firstLine="440" w:firstLineChars="200"/>
        <w:rPr>
          <w:rFonts w:ascii="微软雅黑" w:hAnsi="微软雅黑" w:eastAsia="微软雅黑"/>
          <w:sz w:val="22"/>
          <w:szCs w:val="22"/>
        </w:rPr>
      </w:pPr>
      <w:r>
        <w:rPr>
          <w:rFonts w:hint="eastAsia" w:ascii="微软雅黑" w:hAnsi="微软雅黑" w:eastAsia="微软雅黑"/>
          <w:sz w:val="22"/>
          <w:szCs w:val="22"/>
        </w:rPr>
        <w:t>近日，工业和信息化部、国家能源局联合发布了《关于组织开展新能源企业换电模式应用试点工作的通知》（以下简称《通知》），指出从今年下半年开始，我国将在全国范围内开展新能源汽车换电模式应用试点</w:t>
      </w:r>
      <w:r>
        <w:rPr>
          <w:rFonts w:hint="default" w:ascii="微软雅黑" w:hAnsi="微软雅黑" w:eastAsia="微软雅黑"/>
          <w:sz w:val="22"/>
          <w:szCs w:val="22"/>
        </w:rPr>
        <w:t>，旨在</w:t>
      </w:r>
      <w:r>
        <w:rPr>
          <w:rFonts w:hint="eastAsia" w:ascii="微软雅黑" w:hAnsi="微软雅黑" w:eastAsia="微软雅黑"/>
          <w:sz w:val="22"/>
          <w:szCs w:val="22"/>
        </w:rPr>
        <w:t>促进新能源汽车换电模式的创新应用，推动新能源汽车与能源深度融合发展，支持碳达峰、碳中和目标实现。</w:t>
      </w:r>
      <w:r>
        <w:rPr>
          <w:rFonts w:hint="default" w:ascii="微软雅黑" w:hAnsi="微软雅黑" w:eastAsia="微软雅黑"/>
          <w:sz w:val="22"/>
          <w:szCs w:val="22"/>
        </w:rPr>
        <w:t>此外，据</w:t>
      </w:r>
      <w:r>
        <w:rPr>
          <w:rFonts w:hint="eastAsia" w:ascii="微软雅黑" w:hAnsi="微软雅黑" w:eastAsia="微软雅黑"/>
          <w:sz w:val="22"/>
          <w:szCs w:val="22"/>
        </w:rPr>
        <w:t>中电联预测，到2035年，中国换电站的数量将达到1万座，换电服务市场规模将达到1200亿元。而据中国电动汽车充电基础设施促进联盟最新数据显示，截至2021年4月，我国共计建成换电站617座，对比可知我国换电站建设具有广阔的市想象空间。随着此次应用试点工作的启动</w:t>
      </w:r>
      <w:r>
        <w:rPr>
          <w:rFonts w:hint="default" w:ascii="微软雅黑" w:hAnsi="微软雅黑" w:eastAsia="微软雅黑"/>
          <w:sz w:val="22"/>
          <w:szCs w:val="22"/>
        </w:rPr>
        <w:t>，无论是从政策层面还是市场规模来看，</w:t>
      </w:r>
      <w:r>
        <w:rPr>
          <w:rFonts w:hint="eastAsia" w:ascii="微软雅黑" w:hAnsi="微软雅黑" w:eastAsia="微软雅黑"/>
          <w:sz w:val="22"/>
          <w:szCs w:val="22"/>
        </w:rPr>
        <w:t>换电模式正在成为产业</w:t>
      </w:r>
      <w:r>
        <w:rPr>
          <w:rFonts w:hint="default" w:ascii="微软雅黑" w:hAnsi="微软雅黑" w:eastAsia="微软雅黑"/>
          <w:sz w:val="22"/>
          <w:szCs w:val="22"/>
        </w:rPr>
        <w:t>“</w:t>
      </w:r>
      <w:r>
        <w:rPr>
          <w:rFonts w:hint="eastAsia" w:ascii="微软雅黑" w:hAnsi="微软雅黑" w:eastAsia="微软雅黑"/>
          <w:sz w:val="22"/>
          <w:szCs w:val="22"/>
        </w:rPr>
        <w:t>大风口”，并吸引了大批企业入局，爱驰汽车</w:t>
      </w:r>
      <w:r>
        <w:rPr>
          <w:rFonts w:ascii="微软雅黑" w:hAnsi="微软雅黑" w:eastAsia="微软雅黑"/>
          <w:sz w:val="22"/>
          <w:szCs w:val="22"/>
        </w:rPr>
        <w:t>便是其中一员</w:t>
      </w:r>
      <w:r>
        <w:rPr>
          <w:rFonts w:hint="eastAsia" w:ascii="微软雅黑" w:hAnsi="微软雅黑" w:eastAsia="微软雅黑"/>
          <w:sz w:val="22"/>
          <w:szCs w:val="22"/>
        </w:rPr>
        <w:t>。</w:t>
      </w:r>
    </w:p>
    <w:p>
      <w:pPr>
        <w:jc w:val="center"/>
        <w:rPr>
          <w:rFonts w:ascii="微软雅黑" w:hAnsi="微软雅黑" w:eastAsia="微软雅黑"/>
          <w:b/>
          <w:sz w:val="22"/>
          <w:szCs w:val="22"/>
        </w:rPr>
      </w:pPr>
      <w:r>
        <w:drawing>
          <wp:inline distT="0" distB="0" distL="0" distR="0">
            <wp:extent cx="5212715" cy="2957830"/>
            <wp:effectExtent l="0" t="0" r="196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screen"/>
                    <a:stretch>
                      <a:fillRect/>
                    </a:stretch>
                  </pic:blipFill>
                  <pic:spPr>
                    <a:xfrm>
                      <a:off x="0" y="0"/>
                      <a:ext cx="5212715" cy="2957830"/>
                    </a:xfrm>
                    <a:prstGeom prst="rect">
                      <a:avLst/>
                    </a:prstGeom>
                  </pic:spPr>
                </pic:pic>
              </a:graphicData>
            </a:graphic>
          </wp:inline>
        </w:drawing>
      </w:r>
    </w:p>
    <w:p>
      <w:pPr>
        <w:jc w:val="center"/>
      </w:pPr>
    </w:p>
    <w:p>
      <w:pPr>
        <w:ind w:firstLine="440" w:firstLineChars="200"/>
        <w:rPr>
          <w:rFonts w:ascii="微软雅黑" w:hAnsi="微软雅黑" w:eastAsia="微软雅黑"/>
          <w:sz w:val="22"/>
          <w:szCs w:val="22"/>
        </w:rPr>
      </w:pPr>
      <w:r>
        <w:rPr>
          <w:rFonts w:hint="eastAsia" w:ascii="微软雅黑" w:hAnsi="微软雅黑" w:eastAsia="微软雅黑"/>
          <w:sz w:val="22"/>
          <w:szCs w:val="22"/>
        </w:rPr>
        <w:t>众所周知，相对于私人用车领域，新能源汽车在共享租赁运营的使用上，补能以及使用成本问题更为突出，</w:t>
      </w:r>
      <w:r>
        <w:rPr>
          <w:rFonts w:ascii="微软雅黑" w:hAnsi="微软雅黑" w:eastAsia="微软雅黑"/>
          <w:sz w:val="22"/>
          <w:szCs w:val="22"/>
        </w:rPr>
        <w:t>换电模式恰逢其时</w:t>
      </w:r>
      <w:r>
        <w:rPr>
          <w:rFonts w:hint="eastAsia" w:ascii="微软雅黑" w:hAnsi="微软雅黑" w:eastAsia="微软雅黑"/>
          <w:sz w:val="22"/>
          <w:szCs w:val="22"/>
        </w:rPr>
        <w:t>。</w:t>
      </w:r>
      <w:r>
        <w:rPr>
          <w:rFonts w:hint="default" w:ascii="微软雅黑" w:hAnsi="微软雅黑" w:eastAsia="微软雅黑"/>
          <w:sz w:val="22"/>
          <w:szCs w:val="22"/>
        </w:rPr>
        <w:t>在C端充电领域深耕的同时，爱驰在</w:t>
      </w:r>
      <w:r>
        <w:rPr>
          <w:rFonts w:ascii="微软雅黑" w:hAnsi="微软雅黑" w:eastAsia="微软雅黑"/>
          <w:sz w:val="22"/>
          <w:szCs w:val="22"/>
        </w:rPr>
        <w:t>入局换电领域时，</w:t>
      </w:r>
      <w:r>
        <w:rPr>
          <w:rFonts w:hint="eastAsia" w:ascii="微软雅黑" w:hAnsi="微软雅黑" w:eastAsia="微软雅黑"/>
          <w:sz w:val="22"/>
          <w:szCs w:val="22"/>
        </w:rPr>
        <w:t>选择了在</w:t>
      </w:r>
      <w:r>
        <w:rPr>
          <w:rFonts w:ascii="微软雅黑" w:hAnsi="微软雅黑" w:eastAsia="微软雅黑"/>
          <w:sz w:val="22"/>
          <w:szCs w:val="22"/>
        </w:rPr>
        <w:t>公共换电体系建设上相对</w:t>
      </w:r>
      <w:r>
        <w:rPr>
          <w:rFonts w:hint="eastAsia" w:ascii="微软雅黑" w:hAnsi="微软雅黑" w:eastAsia="微软雅黑"/>
          <w:sz w:val="22"/>
          <w:szCs w:val="22"/>
        </w:rPr>
        <w:t>投入</w:t>
      </w:r>
      <w:r>
        <w:rPr>
          <w:rFonts w:ascii="微软雅黑" w:hAnsi="微软雅黑" w:eastAsia="微软雅黑"/>
          <w:sz w:val="22"/>
          <w:szCs w:val="22"/>
        </w:rPr>
        <w:t>成本</w:t>
      </w:r>
      <w:r>
        <w:rPr>
          <w:rFonts w:hint="eastAsia" w:ascii="微软雅黑" w:hAnsi="微软雅黑" w:eastAsia="微软雅黑"/>
          <w:sz w:val="22"/>
          <w:szCs w:val="22"/>
        </w:rPr>
        <w:t>较低且具备</w:t>
      </w:r>
      <w:r>
        <w:rPr>
          <w:rFonts w:ascii="微软雅黑" w:hAnsi="微软雅黑" w:eastAsia="微软雅黑"/>
          <w:sz w:val="22"/>
          <w:szCs w:val="22"/>
        </w:rPr>
        <w:t>可持续性发展的共享出行换电模式，</w:t>
      </w:r>
      <w:r>
        <w:rPr>
          <w:rFonts w:hint="eastAsia" w:ascii="微软雅黑" w:hAnsi="微软雅黑" w:eastAsia="微软雅黑"/>
          <w:sz w:val="22"/>
          <w:szCs w:val="22"/>
        </w:rPr>
        <w:t>全方位满足</w:t>
      </w:r>
      <w:r>
        <w:rPr>
          <w:rFonts w:ascii="微软雅黑" w:hAnsi="微软雅黑" w:eastAsia="微软雅黑"/>
          <w:sz w:val="22"/>
          <w:szCs w:val="22"/>
        </w:rPr>
        <w:t>B端运营车辆出行的补能需求</w:t>
      </w:r>
      <w:r>
        <w:rPr>
          <w:rFonts w:hint="eastAsia" w:ascii="微软雅黑" w:hAnsi="微软雅黑" w:eastAsia="微软雅黑"/>
          <w:sz w:val="22"/>
          <w:szCs w:val="22"/>
        </w:rPr>
        <w:t>，</w:t>
      </w:r>
      <w:r>
        <w:rPr>
          <w:rFonts w:ascii="微软雅黑" w:hAnsi="微软雅黑" w:eastAsia="微软雅黑"/>
          <w:sz w:val="22"/>
          <w:szCs w:val="22"/>
        </w:rPr>
        <w:t>解决不同</w:t>
      </w:r>
      <w:r>
        <w:rPr>
          <w:rFonts w:hint="eastAsia" w:ascii="微软雅黑" w:hAnsi="微软雅黑" w:eastAsia="微软雅黑"/>
          <w:sz w:val="22"/>
          <w:szCs w:val="22"/>
        </w:rPr>
        <w:t>参与者</w:t>
      </w:r>
      <w:r>
        <w:rPr>
          <w:rFonts w:ascii="微软雅黑" w:hAnsi="微软雅黑" w:eastAsia="微软雅黑"/>
          <w:sz w:val="22"/>
          <w:szCs w:val="22"/>
        </w:rPr>
        <w:t>的出行需求。</w:t>
      </w:r>
    </w:p>
    <w:p>
      <w:pPr>
        <w:jc w:val="center"/>
        <w:rPr>
          <w:rFonts w:ascii="微软雅黑" w:hAnsi="微软雅黑" w:eastAsia="微软雅黑"/>
          <w:sz w:val="22"/>
          <w:szCs w:val="22"/>
        </w:rPr>
      </w:pPr>
      <w:r>
        <w:drawing>
          <wp:inline distT="0" distB="0" distL="0" distR="0">
            <wp:extent cx="5192395" cy="3235325"/>
            <wp:effectExtent l="0" t="0" r="1460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screen"/>
                    <a:srcRect l="1077" b="1126"/>
                    <a:stretch>
                      <a:fillRect/>
                    </a:stretch>
                  </pic:blipFill>
                  <pic:spPr>
                    <a:xfrm>
                      <a:off x="0" y="0"/>
                      <a:ext cx="5192395" cy="3235325"/>
                    </a:xfrm>
                    <a:prstGeom prst="rect">
                      <a:avLst/>
                    </a:prstGeom>
                    <a:ln>
                      <a:noFill/>
                    </a:ln>
                  </pic:spPr>
                </pic:pic>
              </a:graphicData>
            </a:graphic>
          </wp:inline>
        </w:drawing>
      </w:r>
    </w:p>
    <w:p>
      <w:pPr>
        <w:jc w:val="center"/>
        <w:rPr>
          <w:rFonts w:ascii="微软雅黑" w:hAnsi="微软雅黑" w:eastAsia="微软雅黑"/>
          <w:sz w:val="22"/>
          <w:szCs w:val="22"/>
        </w:rPr>
      </w:pPr>
    </w:p>
    <w:p>
      <w:pPr>
        <w:ind w:firstLine="440" w:firstLineChars="200"/>
        <w:rPr>
          <w:rFonts w:ascii="微软雅黑" w:hAnsi="微软雅黑" w:eastAsia="微软雅黑"/>
          <w:sz w:val="22"/>
          <w:szCs w:val="22"/>
        </w:rPr>
      </w:pPr>
      <w:r>
        <w:rPr>
          <w:rFonts w:hint="default" w:ascii="微软雅黑" w:hAnsi="微软雅黑" w:eastAsia="微软雅黑"/>
          <w:sz w:val="22"/>
          <w:szCs w:val="22"/>
        </w:rPr>
        <w:t>爱驰的</w:t>
      </w:r>
      <w:r>
        <w:rPr>
          <w:rFonts w:hint="eastAsia" w:ascii="微软雅黑" w:hAnsi="微软雅黑" w:eastAsia="微软雅黑"/>
          <w:sz w:val="22"/>
          <w:szCs w:val="22"/>
        </w:rPr>
        <w:t>换电模式将从</w:t>
      </w:r>
      <w:r>
        <w:rPr>
          <w:rFonts w:ascii="微软雅黑" w:hAnsi="微软雅黑" w:eastAsia="微软雅黑"/>
          <w:sz w:val="22"/>
          <w:szCs w:val="22"/>
        </w:rPr>
        <w:t>根本上解决</w:t>
      </w:r>
      <w:r>
        <w:rPr>
          <w:rFonts w:hint="eastAsia" w:ascii="微软雅黑" w:hAnsi="微软雅黑" w:eastAsia="微软雅黑"/>
          <w:sz w:val="22"/>
          <w:szCs w:val="22"/>
        </w:rPr>
        <w:t>B端</w:t>
      </w:r>
      <w:r>
        <w:rPr>
          <w:rFonts w:ascii="微软雅黑" w:hAnsi="微软雅黑" w:eastAsia="微软雅黑"/>
          <w:sz w:val="22"/>
          <w:szCs w:val="22"/>
        </w:rPr>
        <w:t>用户尤其是网约车</w:t>
      </w:r>
      <w:r>
        <w:rPr>
          <w:rFonts w:hint="eastAsia" w:ascii="微软雅黑" w:hAnsi="微软雅黑" w:eastAsia="微软雅黑"/>
          <w:sz w:val="22"/>
          <w:szCs w:val="22"/>
        </w:rPr>
        <w:t>以及</w:t>
      </w:r>
      <w:r>
        <w:rPr>
          <w:rFonts w:ascii="微软雅黑" w:hAnsi="微软雅黑" w:eastAsia="微软雅黑"/>
          <w:sz w:val="22"/>
          <w:szCs w:val="22"/>
        </w:rPr>
        <w:t>出租车司机</w:t>
      </w:r>
      <w:r>
        <w:rPr>
          <w:rFonts w:hint="eastAsia" w:ascii="微软雅黑" w:hAnsi="微软雅黑" w:eastAsia="微软雅黑"/>
          <w:sz w:val="22"/>
          <w:szCs w:val="22"/>
        </w:rPr>
        <w:t>运营的</w:t>
      </w:r>
      <w:r>
        <w:rPr>
          <w:rFonts w:ascii="微软雅黑" w:hAnsi="微软雅黑" w:eastAsia="微软雅黑"/>
          <w:sz w:val="22"/>
          <w:szCs w:val="22"/>
        </w:rPr>
        <w:t>三大</w:t>
      </w:r>
      <w:r>
        <w:rPr>
          <w:rFonts w:hint="eastAsia" w:ascii="微软雅黑" w:hAnsi="微软雅黑" w:eastAsia="微软雅黑"/>
          <w:sz w:val="22"/>
          <w:szCs w:val="22"/>
        </w:rPr>
        <w:t>痛点。首先</w:t>
      </w:r>
      <w:r>
        <w:rPr>
          <w:rFonts w:hint="default" w:ascii="微软雅黑" w:hAnsi="微软雅黑" w:eastAsia="微软雅黑"/>
          <w:sz w:val="22"/>
          <w:szCs w:val="22"/>
        </w:rPr>
        <w:t>，相比充电，</w:t>
      </w:r>
      <w:r>
        <w:rPr>
          <w:rFonts w:ascii="微软雅黑" w:hAnsi="微软雅黑" w:eastAsia="微软雅黑"/>
          <w:sz w:val="22"/>
          <w:szCs w:val="22"/>
        </w:rPr>
        <w:t>换电</w:t>
      </w:r>
      <w:r>
        <w:rPr>
          <w:rFonts w:hint="eastAsia" w:ascii="微软雅黑" w:hAnsi="微软雅黑" w:eastAsia="微软雅黑"/>
          <w:sz w:val="22"/>
          <w:szCs w:val="22"/>
        </w:rPr>
        <w:t>将大幅缩短车辆能源补给时长，提升车辆有效运营时间和单日运营里程，增加司机用户收入；其次</w:t>
      </w:r>
      <w:r>
        <w:rPr>
          <w:rFonts w:ascii="微软雅黑" w:hAnsi="微软雅黑" w:eastAsia="微软雅黑"/>
          <w:sz w:val="22"/>
          <w:szCs w:val="22"/>
        </w:rPr>
        <w:t>，3分钟换电</w:t>
      </w:r>
      <w:r>
        <w:rPr>
          <w:rFonts w:hint="eastAsia" w:ascii="微软雅黑" w:hAnsi="微软雅黑" w:eastAsia="微软雅黑"/>
          <w:sz w:val="22"/>
          <w:szCs w:val="22"/>
        </w:rPr>
        <w:t>将</w:t>
      </w:r>
      <w:r>
        <w:rPr>
          <w:rFonts w:ascii="微软雅黑" w:hAnsi="微软雅黑" w:eastAsia="微软雅黑"/>
          <w:sz w:val="22"/>
          <w:szCs w:val="22"/>
        </w:rPr>
        <w:t>不</w:t>
      </w:r>
      <w:r>
        <w:rPr>
          <w:rFonts w:hint="eastAsia" w:ascii="微软雅黑" w:hAnsi="微软雅黑" w:eastAsia="微软雅黑"/>
          <w:sz w:val="22"/>
          <w:szCs w:val="22"/>
        </w:rPr>
        <w:t>会</w:t>
      </w:r>
      <w:r>
        <w:rPr>
          <w:rFonts w:ascii="微软雅黑" w:hAnsi="微软雅黑" w:eastAsia="微软雅黑"/>
          <w:sz w:val="22"/>
          <w:szCs w:val="22"/>
        </w:rPr>
        <w:t>改变用户使用汽车习惯</w:t>
      </w:r>
      <w:r>
        <w:rPr>
          <w:rFonts w:hint="eastAsia" w:ascii="微软雅黑" w:hAnsi="微软雅黑" w:eastAsia="微软雅黑"/>
          <w:sz w:val="22"/>
          <w:szCs w:val="22"/>
        </w:rPr>
        <w:t>，进一步提升电车</w:t>
      </w:r>
      <w:r>
        <w:rPr>
          <w:rFonts w:ascii="微软雅黑" w:hAnsi="微软雅黑" w:eastAsia="微软雅黑"/>
          <w:sz w:val="22"/>
          <w:szCs w:val="22"/>
        </w:rPr>
        <w:t>使用体验；</w:t>
      </w:r>
      <w:r>
        <w:rPr>
          <w:rFonts w:hint="eastAsia" w:ascii="微软雅黑" w:hAnsi="微软雅黑" w:eastAsia="微软雅黑"/>
          <w:sz w:val="22"/>
          <w:szCs w:val="22"/>
        </w:rPr>
        <w:t>此外</w:t>
      </w:r>
      <w:r>
        <w:rPr>
          <w:rFonts w:ascii="微软雅黑" w:hAnsi="微软雅黑" w:eastAsia="微软雅黑"/>
          <w:sz w:val="22"/>
          <w:szCs w:val="22"/>
        </w:rPr>
        <w:t>，车辆</w:t>
      </w:r>
      <w:r>
        <w:rPr>
          <w:rFonts w:hint="eastAsia" w:ascii="微软雅黑" w:hAnsi="微软雅黑" w:eastAsia="微软雅黑"/>
          <w:sz w:val="22"/>
          <w:szCs w:val="22"/>
        </w:rPr>
        <w:t>在补能</w:t>
      </w:r>
      <w:r>
        <w:rPr>
          <w:rFonts w:ascii="微软雅黑" w:hAnsi="微软雅黑" w:eastAsia="微软雅黑"/>
          <w:sz w:val="22"/>
          <w:szCs w:val="22"/>
        </w:rPr>
        <w:t>更高效的同时还能延长动力电池使用寿命</w:t>
      </w:r>
      <w:r>
        <w:rPr>
          <w:rFonts w:hint="eastAsia" w:ascii="微软雅黑" w:hAnsi="微软雅黑" w:eastAsia="微软雅黑"/>
          <w:sz w:val="22"/>
          <w:szCs w:val="22"/>
        </w:rPr>
        <w:t>，保证最优</w:t>
      </w:r>
      <w:r>
        <w:rPr>
          <w:rFonts w:ascii="微软雅黑" w:hAnsi="微软雅黑" w:eastAsia="微软雅黑"/>
          <w:sz w:val="22"/>
          <w:szCs w:val="22"/>
        </w:rPr>
        <w:t>的续航里程</w:t>
      </w:r>
      <w:r>
        <w:rPr>
          <w:rFonts w:hint="eastAsia" w:ascii="微软雅黑" w:hAnsi="微软雅黑" w:eastAsia="微软雅黑"/>
          <w:sz w:val="22"/>
          <w:szCs w:val="22"/>
        </w:rPr>
        <w:t>。基于此，</w:t>
      </w:r>
      <w:r>
        <w:rPr>
          <w:rFonts w:ascii="微软雅黑" w:hAnsi="微软雅黑" w:eastAsia="微软雅黑"/>
          <w:sz w:val="22"/>
          <w:szCs w:val="22"/>
        </w:rPr>
        <w:t>换电模式逐渐成为新能源运营车辆快速推广的重要解决方案。</w:t>
      </w:r>
    </w:p>
    <w:p>
      <w:pPr>
        <w:jc w:val="center"/>
        <w:rPr>
          <w:rFonts w:ascii="微软雅黑" w:hAnsi="微软雅黑" w:eastAsia="微软雅黑"/>
          <w:sz w:val="22"/>
          <w:szCs w:val="22"/>
        </w:rPr>
      </w:pPr>
      <w:r>
        <w:drawing>
          <wp:inline distT="0" distB="0" distL="0" distR="0">
            <wp:extent cx="5161280" cy="3557905"/>
            <wp:effectExtent l="0" t="0" r="20320" b="234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screen"/>
                    <a:stretch>
                      <a:fillRect/>
                    </a:stretch>
                  </pic:blipFill>
                  <pic:spPr>
                    <a:xfrm>
                      <a:off x="0" y="0"/>
                      <a:ext cx="5161280" cy="3557905"/>
                    </a:xfrm>
                    <a:prstGeom prst="rect">
                      <a:avLst/>
                    </a:prstGeom>
                  </pic:spPr>
                </pic:pic>
              </a:graphicData>
            </a:graphic>
          </wp:inline>
        </w:drawing>
      </w:r>
    </w:p>
    <w:p>
      <w:pPr>
        <w:ind w:firstLine="440" w:firstLineChars="200"/>
        <w:rPr>
          <w:rFonts w:ascii="微软雅黑" w:hAnsi="微软雅黑" w:eastAsia="微软雅黑"/>
          <w:sz w:val="22"/>
          <w:szCs w:val="22"/>
        </w:rPr>
      </w:pPr>
      <w:r>
        <w:rPr>
          <w:rFonts w:ascii="微软雅黑" w:hAnsi="微软雅黑" w:eastAsia="微软雅黑"/>
          <w:sz w:val="22"/>
          <w:szCs w:val="22"/>
        </w:rPr>
        <w:t>短短一个月时间内，爱驰汽车</w:t>
      </w:r>
      <w:r>
        <w:rPr>
          <w:rFonts w:hint="eastAsia" w:ascii="微软雅黑" w:hAnsi="微软雅黑" w:eastAsia="微软雅黑"/>
          <w:sz w:val="22"/>
          <w:szCs w:val="22"/>
        </w:rPr>
        <w:t>能够</w:t>
      </w:r>
      <w:r>
        <w:rPr>
          <w:rFonts w:ascii="微软雅黑" w:hAnsi="微软雅黑" w:eastAsia="微软雅黑"/>
          <w:sz w:val="22"/>
          <w:szCs w:val="22"/>
        </w:rPr>
        <w:t>精准把握风口，并将换电</w:t>
      </w:r>
      <w:r>
        <w:rPr>
          <w:rFonts w:hint="eastAsia" w:ascii="微软雅黑" w:hAnsi="微软雅黑" w:eastAsia="微软雅黑"/>
          <w:sz w:val="22"/>
          <w:szCs w:val="22"/>
        </w:rPr>
        <w:t>模式</w:t>
      </w:r>
      <w:r>
        <w:rPr>
          <w:rFonts w:ascii="微软雅黑" w:hAnsi="微软雅黑" w:eastAsia="微软雅黑"/>
          <w:sz w:val="22"/>
          <w:szCs w:val="22"/>
        </w:rPr>
        <w:t>快速落地，成为</w:t>
      </w:r>
      <w:r>
        <w:rPr>
          <w:rFonts w:hint="eastAsia" w:ascii="微软雅黑" w:hAnsi="微软雅黑" w:eastAsia="微软雅黑"/>
          <w:sz w:val="22"/>
          <w:szCs w:val="22"/>
        </w:rPr>
        <w:t>目前</w:t>
      </w:r>
      <w:r>
        <w:rPr>
          <w:rFonts w:ascii="微软雅黑" w:hAnsi="微软雅黑" w:eastAsia="微软雅黑"/>
          <w:sz w:val="22"/>
          <w:szCs w:val="22"/>
        </w:rPr>
        <w:t>少数具备成熟换电模式的车企。这一切得益于爱驰</w:t>
      </w:r>
      <w:r>
        <w:rPr>
          <w:rFonts w:hint="eastAsia" w:ascii="微软雅黑" w:hAnsi="微软雅黑" w:eastAsia="微软雅黑"/>
          <w:sz w:val="22"/>
          <w:szCs w:val="22"/>
        </w:rPr>
        <w:t>深厚</w:t>
      </w:r>
      <w:r>
        <w:rPr>
          <w:rFonts w:ascii="微软雅黑" w:hAnsi="微软雅黑" w:eastAsia="微软雅黑"/>
          <w:sz w:val="22"/>
          <w:szCs w:val="22"/>
        </w:rPr>
        <w:t>的技术实力</w:t>
      </w:r>
      <w:r>
        <w:rPr>
          <w:rFonts w:hint="default" w:ascii="微软雅黑" w:hAnsi="微软雅黑" w:eastAsia="微软雅黑"/>
          <w:sz w:val="22"/>
          <w:szCs w:val="22"/>
        </w:rPr>
        <w:t>与</w:t>
      </w:r>
      <w:r>
        <w:rPr>
          <w:rFonts w:ascii="微软雅黑" w:hAnsi="微软雅黑" w:eastAsia="微软雅黑"/>
          <w:sz w:val="22"/>
          <w:szCs w:val="22"/>
        </w:rPr>
        <w:t>完善的产品体系</w:t>
      </w:r>
      <w:r>
        <w:rPr>
          <w:rFonts w:hint="default" w:ascii="微软雅黑" w:hAnsi="微软雅黑" w:eastAsia="微软雅黑"/>
          <w:sz w:val="22"/>
          <w:szCs w:val="22"/>
        </w:rPr>
        <w:t>。</w:t>
      </w:r>
    </w:p>
    <w:p>
      <w:pPr>
        <w:jc w:val="center"/>
        <w:rPr>
          <w:rFonts w:ascii="微软雅黑" w:hAnsi="微软雅黑" w:eastAsia="微软雅黑"/>
          <w:sz w:val="22"/>
          <w:szCs w:val="22"/>
        </w:rPr>
      </w:pPr>
      <w:r>
        <w:drawing>
          <wp:inline distT="0" distB="0" distL="0" distR="0">
            <wp:extent cx="4904105" cy="27597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screen"/>
                    <a:stretch>
                      <a:fillRect/>
                    </a:stretch>
                  </pic:blipFill>
                  <pic:spPr>
                    <a:xfrm>
                      <a:off x="0" y="0"/>
                      <a:ext cx="4908463" cy="2762432"/>
                    </a:xfrm>
                    <a:prstGeom prst="rect">
                      <a:avLst/>
                    </a:prstGeom>
                  </pic:spPr>
                </pic:pic>
              </a:graphicData>
            </a:graphic>
          </wp:inline>
        </w:drawing>
      </w:r>
    </w:p>
    <w:p>
      <w:pPr>
        <w:ind w:firstLine="440" w:firstLineChars="200"/>
        <w:rPr>
          <w:rFonts w:ascii="微软雅黑" w:hAnsi="微软雅黑" w:eastAsia="微软雅黑"/>
          <w:sz w:val="22"/>
          <w:szCs w:val="22"/>
        </w:rPr>
      </w:pPr>
      <w:r>
        <w:rPr>
          <w:rFonts w:hint="eastAsia" w:ascii="微软雅黑" w:hAnsi="微软雅黑" w:eastAsia="微软雅黑"/>
          <w:sz w:val="22"/>
          <w:szCs w:val="22"/>
        </w:rPr>
        <w:t>依托“AI－TECH”智能科技，爱驰汽车自</w:t>
      </w:r>
      <w:r>
        <w:rPr>
          <w:rFonts w:ascii="微软雅黑" w:hAnsi="微软雅黑" w:eastAsia="微软雅黑"/>
          <w:sz w:val="22"/>
          <w:szCs w:val="22"/>
        </w:rPr>
        <w:t>成立之初就</w:t>
      </w:r>
      <w:r>
        <w:rPr>
          <w:rFonts w:hint="eastAsia" w:ascii="微软雅黑" w:hAnsi="微软雅黑" w:eastAsia="微软雅黑"/>
          <w:sz w:val="22"/>
          <w:szCs w:val="22"/>
        </w:rPr>
        <w:t>系统全面地规划了智能网联、自动驾驶、车身轻量化、平台架构、动力系统等多项核心技术。爱驰已自建具有自主知识产权的纯电</w:t>
      </w:r>
      <w:r>
        <w:rPr>
          <w:rFonts w:ascii="微软雅黑" w:hAnsi="微软雅黑" w:eastAsia="微软雅黑"/>
          <w:sz w:val="22"/>
          <w:szCs w:val="22"/>
        </w:rPr>
        <w:t>MAS平台，在江西上饶以工业4.0标准自建具备整车资质的数字化、智能化、柔性化超级智慧工厂，且首创轻量化全球领先的“上钢下铝”车身结构，自主研发干湿分离的“三明治”结构电池包，</w:t>
      </w:r>
      <w:r>
        <w:rPr>
          <w:rFonts w:hint="eastAsia" w:ascii="微软雅黑" w:hAnsi="微软雅黑" w:eastAsia="微软雅黑"/>
          <w:sz w:val="22"/>
          <w:szCs w:val="22"/>
        </w:rPr>
        <w:t>这些</w:t>
      </w:r>
      <w:r>
        <w:rPr>
          <w:rFonts w:ascii="微软雅黑" w:hAnsi="微软雅黑" w:eastAsia="微软雅黑"/>
          <w:sz w:val="22"/>
          <w:szCs w:val="22"/>
        </w:rPr>
        <w:t>均为投入运营的爱驰U5换电车型提供前瞻技术支撑</w:t>
      </w:r>
      <w:r>
        <w:rPr>
          <w:rFonts w:hint="eastAsia" w:ascii="微软雅黑" w:hAnsi="微软雅黑" w:eastAsia="微软雅黑"/>
          <w:sz w:val="22"/>
          <w:szCs w:val="22"/>
        </w:rPr>
        <w:t>和</w:t>
      </w:r>
      <w:r>
        <w:rPr>
          <w:rFonts w:ascii="微软雅黑" w:hAnsi="微软雅黑" w:eastAsia="微软雅黑"/>
          <w:sz w:val="22"/>
          <w:szCs w:val="22"/>
        </w:rPr>
        <w:t>品质保障。</w:t>
      </w:r>
    </w:p>
    <w:p>
      <w:pPr>
        <w:rPr>
          <w:rFonts w:ascii="微软雅黑" w:hAnsi="微软雅黑" w:eastAsia="微软雅黑"/>
          <w:sz w:val="22"/>
          <w:szCs w:val="22"/>
        </w:rPr>
      </w:pPr>
      <w:bookmarkStart w:id="0" w:name="_GoBack"/>
      <w:bookmarkEnd w:id="0"/>
    </w:p>
    <w:p>
      <w:pPr>
        <w:jc w:val="center"/>
        <w:rPr>
          <w:rFonts w:ascii="微软雅黑" w:hAnsi="微软雅黑" w:eastAsia="微软雅黑"/>
          <w:sz w:val="22"/>
          <w:szCs w:val="22"/>
        </w:rPr>
      </w:pPr>
      <w:r>
        <w:rPr>
          <w:rFonts w:hint="eastAsia" w:ascii="微软雅黑" w:hAnsi="微软雅黑" w:eastAsia="微软雅黑"/>
          <w:sz w:val="22"/>
          <w:szCs w:val="22"/>
        </w:rPr>
        <w:t>——完——</w:t>
      </w:r>
    </w:p>
    <w:p>
      <w:pPr>
        <w:jc w:val="center"/>
        <w:rPr>
          <w:rFonts w:ascii="微软雅黑" w:hAnsi="微软雅黑" w:eastAsia="微软雅黑"/>
          <w:b/>
          <w:sz w:val="22"/>
          <w:szCs w:val="22"/>
        </w:rPr>
      </w:pPr>
      <w:r>
        <w:rPr>
          <w:rFonts w:hint="eastAsia" w:ascii="微软雅黑" w:hAnsi="微软雅黑" w:eastAsia="微软雅黑"/>
          <w:b/>
          <w:sz w:val="22"/>
          <w:szCs w:val="22"/>
        </w:rPr>
        <w:t>关于爱驰</w:t>
      </w:r>
      <w:r>
        <w:rPr>
          <w:rFonts w:ascii="微软雅黑" w:hAnsi="微软雅黑" w:eastAsia="微软雅黑"/>
          <w:b/>
          <w:sz w:val="22"/>
          <w:szCs w:val="22"/>
        </w:rPr>
        <w:t>汽车</w:t>
      </w:r>
    </w:p>
    <w:p>
      <w:pPr>
        <w:jc w:val="both"/>
        <w:rPr>
          <w:rFonts w:ascii="微软雅黑" w:hAnsi="微软雅黑" w:eastAsia="微软雅黑"/>
          <w:sz w:val="22"/>
          <w:szCs w:val="22"/>
        </w:rPr>
      </w:pPr>
      <w:r>
        <w:rPr>
          <w:rFonts w:hint="eastAsia" w:ascii="微软雅黑" w:hAnsi="微软雅黑" w:eastAsia="微软雅黑"/>
          <w:sz w:val="22"/>
          <w:szCs w:val="22"/>
        </w:rPr>
        <w:t>爱驰汽车创立于</w:t>
      </w:r>
      <w:r>
        <w:rPr>
          <w:rFonts w:ascii="微软雅黑" w:hAnsi="微软雅黑" w:eastAsia="微软雅黑"/>
          <w:sz w:val="22"/>
          <w:szCs w:val="22"/>
        </w:rPr>
        <w:t>2017年，是一家国际化的新能源智能汽车公司，也是一家用户深度参与的智能出行服务公司，</w:t>
      </w:r>
      <w:r>
        <w:rPr>
          <w:rFonts w:hint="eastAsia" w:ascii="微软雅黑" w:hAnsi="微软雅黑" w:eastAsia="微软雅黑"/>
          <w:sz w:val="22"/>
          <w:szCs w:val="22"/>
        </w:rPr>
        <w:t>致力于</w:t>
      </w:r>
      <w:r>
        <w:rPr>
          <w:rFonts w:ascii="微软雅黑" w:hAnsi="微软雅黑" w:eastAsia="微软雅黑"/>
          <w:sz w:val="22"/>
          <w:szCs w:val="22"/>
        </w:rPr>
        <w:t>以全球化智能科技，持续改善用户的出行体验，</w:t>
      </w:r>
      <w:r>
        <w:rPr>
          <w:rFonts w:hint="eastAsia" w:ascii="微软雅黑" w:hAnsi="微软雅黑" w:eastAsia="微软雅黑"/>
          <w:sz w:val="22"/>
          <w:szCs w:val="22"/>
        </w:rPr>
        <w:t>实力成就</w:t>
      </w:r>
      <w:r>
        <w:rPr>
          <w:rFonts w:ascii="微软雅黑" w:hAnsi="微软雅黑" w:eastAsia="微软雅黑"/>
          <w:sz w:val="22"/>
          <w:szCs w:val="22"/>
        </w:rPr>
        <w:t>中国新能源汽车全球化先行者。</w:t>
      </w:r>
      <w:r>
        <w:rPr>
          <w:rFonts w:hint="eastAsia" w:ascii="微软雅黑" w:hAnsi="微软雅黑" w:eastAsia="微软雅黑"/>
          <w:sz w:val="22"/>
          <w:szCs w:val="22"/>
        </w:rPr>
        <w:t>目前</w:t>
      </w:r>
      <w:r>
        <w:rPr>
          <w:rFonts w:ascii="微软雅黑" w:hAnsi="微软雅黑" w:eastAsia="微软雅黑"/>
          <w:sz w:val="22"/>
          <w:szCs w:val="22"/>
        </w:rPr>
        <w:t>，</w:t>
      </w:r>
      <w:r>
        <w:rPr>
          <w:rFonts w:hint="eastAsia" w:ascii="微软雅黑" w:hAnsi="微软雅黑" w:eastAsia="微软雅黑"/>
          <w:sz w:val="22"/>
          <w:szCs w:val="22"/>
        </w:rPr>
        <w:t>爱驰</w:t>
      </w:r>
      <w:r>
        <w:rPr>
          <w:rFonts w:ascii="微软雅黑" w:hAnsi="微软雅黑" w:eastAsia="微软雅黑"/>
          <w:sz w:val="22"/>
          <w:szCs w:val="22"/>
        </w:rPr>
        <w:t>U5已累计出口欧盟及中东多个发达国家，在德国、荷兰、比利时、法国</w:t>
      </w:r>
      <w:r>
        <w:rPr>
          <w:rFonts w:hint="eastAsia" w:ascii="微软雅黑" w:hAnsi="微软雅黑" w:eastAsia="微软雅黑"/>
          <w:sz w:val="22"/>
          <w:szCs w:val="22"/>
        </w:rPr>
        <w:t>、</w:t>
      </w:r>
      <w:r>
        <w:rPr>
          <w:rFonts w:ascii="微软雅黑" w:hAnsi="微软雅黑" w:eastAsia="微软雅黑"/>
          <w:sz w:val="22"/>
          <w:szCs w:val="22"/>
        </w:rPr>
        <w:t>以色列、丹麦等</w:t>
      </w:r>
      <w:r>
        <w:rPr>
          <w:rFonts w:hint="eastAsia" w:ascii="微软雅黑" w:hAnsi="微软雅黑" w:eastAsia="微软雅黑"/>
          <w:sz w:val="22"/>
          <w:szCs w:val="22"/>
        </w:rPr>
        <w:t>国家</w:t>
      </w:r>
      <w:r>
        <w:rPr>
          <w:rFonts w:ascii="微软雅黑" w:hAnsi="微软雅黑" w:eastAsia="微软雅黑"/>
          <w:sz w:val="22"/>
          <w:szCs w:val="22"/>
        </w:rPr>
        <w:t>开启销售。截止2020年底，爱驰汽车累计交付海外用户超过千台，受到当地媒体和用户广泛好评。</w:t>
      </w:r>
      <w:r>
        <w:rPr>
          <w:rFonts w:hint="eastAsia" w:ascii="微软雅黑" w:hAnsi="微软雅黑" w:eastAsia="微软雅黑"/>
          <w:sz w:val="22"/>
          <w:szCs w:val="22"/>
        </w:rPr>
        <w:t>爱驰汽车是第一家也是目前唯一一家大批量出口欧盟市场的中国造车新势力企业。</w:t>
      </w:r>
    </w:p>
    <w:p>
      <w:pPr>
        <w:jc w:val="center"/>
        <w:rPr>
          <w:rFonts w:ascii="微软雅黑" w:hAnsi="微软雅黑" w:eastAsia="微软雅黑"/>
          <w:sz w:val="22"/>
          <w:szCs w:val="22"/>
        </w:rPr>
      </w:pPr>
      <w:r>
        <w:rPr>
          <w:rFonts w:ascii="微软雅黑" w:hAnsi="微软雅黑" w:eastAsia="微软雅黑"/>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cstate="screen"/>
                    <a:srcRect/>
                    <a:stretch>
                      <a:fillRect/>
                    </a:stretch>
                  </pic:blipFill>
                  <pic:spPr>
                    <a:xfrm>
                      <a:off x="0" y="0"/>
                      <a:ext cx="1214120" cy="1214120"/>
                    </a:xfrm>
                    <a:prstGeom prst="rect">
                      <a:avLst/>
                    </a:prstGeom>
                    <a:noFill/>
                    <a:ln>
                      <a:noFill/>
                    </a:ln>
                  </pic:spPr>
                </pic:pic>
              </a:graphicData>
            </a:graphic>
          </wp:inline>
        </w:drawing>
      </w:r>
    </w:p>
    <w:p>
      <w:pPr>
        <w:jc w:val="center"/>
        <w:rPr>
          <w:rFonts w:ascii="微软雅黑" w:hAnsi="微软雅黑" w:eastAsia="微软雅黑"/>
          <w:i/>
          <w:sz w:val="16"/>
          <w:szCs w:val="16"/>
        </w:rPr>
      </w:pPr>
      <w:r>
        <w:rPr>
          <w:rFonts w:hint="eastAsia" w:ascii="微软雅黑" w:hAnsi="微软雅黑" w:eastAsia="微软雅黑"/>
          <w:i/>
          <w:sz w:val="16"/>
          <w:szCs w:val="16"/>
        </w:rPr>
        <w:t>扫描上方二维码关注“爱驰汽车”官方微信公众号，即时获取更多</w:t>
      </w:r>
      <w:r>
        <w:rPr>
          <w:rFonts w:ascii="微软雅黑" w:hAnsi="微软雅黑" w:eastAsia="微软雅黑"/>
          <w:i/>
          <w:sz w:val="16"/>
          <w:szCs w:val="16"/>
        </w:rPr>
        <w:t>资讯</w:t>
      </w:r>
    </w:p>
    <w:p>
      <w:pPr>
        <w:rPr>
          <w:rFonts w:ascii="微软雅黑" w:hAnsi="微软雅黑" w:eastAsia="微软雅黑"/>
          <w:b/>
          <w:sz w:val="22"/>
          <w:szCs w:val="22"/>
        </w:rPr>
      </w:pPr>
      <w:r>
        <w:rPr>
          <w:rFonts w:hint="eastAsia" w:ascii="微软雅黑" w:hAnsi="微软雅黑" w:eastAsia="微软雅黑"/>
          <w:b/>
          <w:sz w:val="22"/>
          <w:szCs w:val="22"/>
        </w:rPr>
        <w:t>详情咨询</w:t>
      </w:r>
      <w:r>
        <w:rPr>
          <w:rFonts w:ascii="微软雅黑" w:hAnsi="微软雅黑" w:eastAsia="微软雅黑"/>
          <w:b/>
          <w:sz w:val="22"/>
          <w:szCs w:val="22"/>
        </w:rPr>
        <w:t>：</w:t>
      </w:r>
    </w:p>
    <w:p>
      <w:pPr>
        <w:rPr>
          <w:rFonts w:ascii="微软雅黑" w:hAnsi="微软雅黑" w:eastAsia="微软雅黑"/>
          <w:sz w:val="22"/>
          <w:szCs w:val="22"/>
        </w:rPr>
      </w:pPr>
      <w:r>
        <w:rPr>
          <w:rFonts w:hint="eastAsia" w:ascii="微软雅黑" w:hAnsi="微软雅黑" w:eastAsia="微软雅黑"/>
          <w:sz w:val="22"/>
          <w:szCs w:val="22"/>
        </w:rPr>
        <w:t>爱驰</w:t>
      </w:r>
      <w:r>
        <w:rPr>
          <w:rFonts w:ascii="微软雅黑" w:hAnsi="微软雅黑" w:eastAsia="微软雅黑"/>
          <w:sz w:val="22"/>
          <w:szCs w:val="22"/>
        </w:rPr>
        <w:t>汽车公关部</w:t>
      </w:r>
      <w:r>
        <w:rPr>
          <w:rFonts w:hint="eastAsia" w:ascii="微软雅黑" w:hAnsi="微软雅黑" w:eastAsia="微软雅黑"/>
          <w:sz w:val="22"/>
          <w:szCs w:val="22"/>
        </w:rPr>
        <w:t xml:space="preserve"> 杨</w:t>
      </w:r>
      <w:r>
        <w:rPr>
          <w:rFonts w:ascii="微软雅黑" w:hAnsi="微软雅黑" w:eastAsia="微软雅黑"/>
          <w:sz w:val="22"/>
          <w:szCs w:val="22"/>
        </w:rPr>
        <w:t>晓茜</w:t>
      </w:r>
    </w:p>
    <w:p>
      <w:pPr>
        <w:rPr>
          <w:rFonts w:ascii="微软雅黑" w:hAnsi="微软雅黑" w:eastAsia="微软雅黑"/>
          <w:sz w:val="22"/>
          <w:szCs w:val="22"/>
        </w:rPr>
      </w:pPr>
      <w:r>
        <w:rPr>
          <w:rFonts w:hint="eastAsia" w:ascii="微软雅黑" w:hAnsi="微软雅黑" w:eastAsia="微软雅黑"/>
          <w:sz w:val="22"/>
          <w:szCs w:val="22"/>
        </w:rPr>
        <w:t>电子邮箱</w:t>
      </w:r>
      <w:r>
        <w:rPr>
          <w:rFonts w:ascii="微软雅黑" w:hAnsi="微软雅黑" w:eastAsia="微软雅黑"/>
          <w:sz w:val="22"/>
          <w:szCs w:val="22"/>
        </w:rPr>
        <w:t>：</w:t>
      </w:r>
      <w:r>
        <w:rPr>
          <w:rFonts w:hint="eastAsia" w:ascii="微软雅黑" w:hAnsi="微软雅黑" w:eastAsia="微软雅黑"/>
          <w:sz w:val="22"/>
          <w:szCs w:val="22"/>
        </w:rPr>
        <w:t>xiaoqian</w:t>
      </w:r>
      <w:r>
        <w:rPr>
          <w:rFonts w:ascii="微软雅黑" w:hAnsi="微软雅黑" w:eastAsia="微软雅黑"/>
          <w:sz w:val="22"/>
          <w:szCs w:val="22"/>
        </w:rPr>
        <w:t>.yang@ai-ways.com</w:t>
      </w:r>
    </w:p>
    <w:sectPr>
      <w:headerReference r:id="rId3" w:type="default"/>
      <w:footerReference r:id="rId4" w:type="default"/>
      <w:pgSz w:w="11906" w:h="16838"/>
      <w:pgMar w:top="1440" w:right="991" w:bottom="1440" w:left="993" w:header="851" w:footer="66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汉仪旗黑KW"/>
    <w:panose1 w:val="020B0503020204020204"/>
    <w:charset w:val="86"/>
    <w:family w:val="swiss"/>
    <w:pitch w:val="default"/>
    <w:sig w:usb0="00000000" w:usb1="00000000" w:usb2="00000016" w:usb3="00000000" w:csb0="0004001F" w:csb1="00000000"/>
  </w:font>
  <w:font w:name="汉仪旗黑KW">
    <w:panose1 w:val="00020600040101010101"/>
    <w:charset w:val="86"/>
    <w:family w:val="auto"/>
    <w:pitch w:val="default"/>
    <w:sig w:usb0="A00002BF" w:usb1="3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微软雅黑">
    <w:altName w:val="汉仪旗黑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jc w:val="right"/>
      <w:rPr>
        <w:color w:val="262626" w:themeColor="text1" w:themeTint="D9"/>
        <w14:textFill>
          <w14:solidFill>
            <w14:schemeClr w14:val="tx1">
              <w14:lumMod w14:val="85000"/>
              <w14:lumOff w14:val="15000"/>
            </w14:schemeClr>
          </w14:solidFill>
        </w14:textFill>
      </w:rPr>
    </w:pPr>
    <w:r>
      <w:rPr>
        <w:rFonts w:hint="eastAsia"/>
        <w:color w:val="262626" w:themeColor="text1" w:themeTint="D9"/>
        <w:sz w:val="22"/>
        <w:szCs w:val="16"/>
        <w14:textFill>
          <w14:solidFill>
            <w14:schemeClr w14:val="tx1">
              <w14:lumMod w14:val="85000"/>
              <w14:lumOff w14:val="15000"/>
            </w14:schemeClr>
          </w14:solidFill>
        </w14:textFill>
      </w:rPr>
      <w:t>www.ai-ways.com</w:t>
    </w:r>
    <w:sdt>
      <w:sdtPr>
        <w:rPr>
          <w:color w:val="262626" w:themeColor="text1" w:themeTint="D9"/>
          <w:sz w:val="22"/>
          <w:szCs w:val="16"/>
          <w14:textFill>
            <w14:solidFill>
              <w14:schemeClr w14:val="tx1">
                <w14:lumMod w14:val="85000"/>
                <w14:lumOff w14:val="15000"/>
              </w14:schemeClr>
            </w14:solidFill>
          </w14:textFill>
        </w:rPr>
        <w:id w:val="17154793"/>
      </w:sdtPr>
      <w:sdtEndPr>
        <w:rPr>
          <w:color w:val="262626" w:themeColor="text1" w:themeTint="D9"/>
          <w:sz w:val="18"/>
          <w:szCs w:val="18"/>
          <w14:textFill>
            <w14:solidFill>
              <w14:schemeClr w14:val="tx1">
                <w14:lumMod w14:val="85000"/>
                <w14:lumOff w14:val="15000"/>
              </w14:schemeClr>
            </w14:solidFill>
          </w14:textFill>
        </w:rPr>
      </w:sdtEndPr>
      <w:sdtContent>
        <w:sdt>
          <w:sdtPr>
            <w:rPr>
              <w:color w:val="262626" w:themeColor="text1" w:themeTint="D9"/>
              <w:sz w:val="22"/>
              <w:szCs w:val="16"/>
              <w14:textFill>
                <w14:solidFill>
                  <w14:schemeClr w14:val="tx1">
                    <w14:lumMod w14:val="85000"/>
                    <w14:lumOff w14:val="15000"/>
                  </w14:schemeClr>
                </w14:solidFill>
              </w14:textFill>
            </w:rPr>
            <w:id w:val="171357283"/>
          </w:sdtPr>
          <w:sdtEndPr>
            <w:rPr>
              <w:color w:val="262626" w:themeColor="text1" w:themeTint="D9"/>
              <w:sz w:val="18"/>
              <w:szCs w:val="18"/>
              <w14:textFill>
                <w14:solidFill>
                  <w14:schemeClr w14:val="tx1">
                    <w14:lumMod w14:val="85000"/>
                    <w14:lumOff w14:val="15000"/>
                  </w14:schemeClr>
                </w14:solidFill>
              </w14:textFill>
            </w:rPr>
          </w:sdtEndPr>
          <w:sdtContent>
            <w:r>
              <w:rPr>
                <w:rFonts w:hint="eastAsia"/>
                <w:color w:val="262626" w:themeColor="text1" w:themeTint="D9"/>
                <w:sz w:val="24"/>
                <w14:textFill>
                  <w14:solidFill>
                    <w14:schemeClr w14:val="tx1">
                      <w14:lumMod w14:val="85000"/>
                      <w14:lumOff w14:val="15000"/>
                    </w14:schemeClr>
                  </w14:solidFill>
                </w14:textFill>
              </w:rPr>
              <w:t xml:space="preserve">     </w:t>
            </w:r>
            <w:r>
              <w:rPr>
                <w:rFonts w:hint="eastAsia"/>
                <w:color w:val="262626" w:themeColor="text1" w:themeTint="D9"/>
                <w14:textFill>
                  <w14:solidFill>
                    <w14:schemeClr w14:val="tx1">
                      <w14:lumMod w14:val="85000"/>
                      <w14:lumOff w14:val="15000"/>
                    </w14:schemeClr>
                  </w14:solidFill>
                </w14:textFill>
              </w:rPr>
              <w:t xml:space="preserve">                                   </w:t>
            </w:r>
            <w:r>
              <w:rPr>
                <w:color w:val="262626" w:themeColor="text1" w:themeTint="D9"/>
                <w:lang w:val="zh-CN"/>
                <w14:textFill>
                  <w14:solidFill>
                    <w14:schemeClr w14:val="tx1">
                      <w14:lumMod w14:val="85000"/>
                      <w14:lumOff w14:val="15000"/>
                    </w14:schemeClr>
                  </w14:solidFill>
                </w14:textFill>
              </w:rPr>
              <w:t xml:space="preserve"> </w:t>
            </w:r>
            <w:r>
              <w:rPr>
                <w:rFonts w:hint="eastAsia"/>
                <w:color w:val="262626" w:themeColor="text1" w:themeTint="D9"/>
                <w:lang w:val="zh-CN"/>
                <w14:textFill>
                  <w14:solidFill>
                    <w14:schemeClr w14:val="tx1">
                      <w14:lumMod w14:val="85000"/>
                      <w14:lumOff w14:val="15000"/>
                    </w14:schemeClr>
                  </w14:solidFill>
                </w14:textFill>
              </w:rPr>
              <w:t xml:space="preserve">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PAGE</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7</w:t>
            </w:r>
            <w:r>
              <w:rPr>
                <w:b/>
                <w:color w:val="262626" w:themeColor="text1" w:themeTint="D9"/>
                <w:sz w:val="24"/>
                <w:szCs w:val="24"/>
                <w14:textFill>
                  <w14:solidFill>
                    <w14:schemeClr w14:val="tx1">
                      <w14:lumMod w14:val="85000"/>
                      <w14:lumOff w14:val="15000"/>
                    </w14:schemeClr>
                  </w14:solidFill>
                </w14:textFill>
              </w:rPr>
              <w:fldChar w:fldCharType="end"/>
            </w:r>
            <w:r>
              <w:rPr>
                <w:color w:val="262626" w:themeColor="text1" w:themeTint="D9"/>
                <w:lang w:val="zh-CN"/>
                <w14:textFill>
                  <w14:solidFill>
                    <w14:schemeClr w14:val="tx1">
                      <w14:lumMod w14:val="85000"/>
                      <w14:lumOff w14:val="15000"/>
                    </w14:schemeClr>
                  </w14:solidFill>
                </w14:textFill>
              </w:rPr>
              <w:t xml:space="preserve"> / </w:t>
            </w:r>
            <w:r>
              <w:rPr>
                <w:b/>
                <w:color w:val="262626" w:themeColor="text1" w:themeTint="D9"/>
                <w:sz w:val="24"/>
                <w:szCs w:val="24"/>
                <w14:textFill>
                  <w14:solidFill>
                    <w14:schemeClr w14:val="tx1">
                      <w14:lumMod w14:val="85000"/>
                      <w14:lumOff w14:val="15000"/>
                    </w14:schemeClr>
                  </w14:solidFill>
                </w14:textFill>
              </w:rPr>
              <w:fldChar w:fldCharType="begin"/>
            </w:r>
            <w:r>
              <w:rPr>
                <w:b/>
                <w:color w:val="262626" w:themeColor="text1" w:themeTint="D9"/>
                <w14:textFill>
                  <w14:solidFill>
                    <w14:schemeClr w14:val="tx1">
                      <w14:lumMod w14:val="85000"/>
                      <w14:lumOff w14:val="15000"/>
                    </w14:schemeClr>
                  </w14:solidFill>
                </w14:textFill>
              </w:rPr>
              <w:instrText xml:space="preserve">NUMPAGES</w:instrText>
            </w:r>
            <w:r>
              <w:rPr>
                <w:b/>
                <w:color w:val="262626" w:themeColor="text1" w:themeTint="D9"/>
                <w:sz w:val="24"/>
                <w:szCs w:val="24"/>
                <w14:textFill>
                  <w14:solidFill>
                    <w14:schemeClr w14:val="tx1">
                      <w14:lumMod w14:val="85000"/>
                      <w14:lumOff w14:val="15000"/>
                    </w14:schemeClr>
                  </w14:solidFill>
                </w14:textFill>
              </w:rPr>
              <w:fldChar w:fldCharType="separate"/>
            </w:r>
            <w:r>
              <w:rPr>
                <w:b/>
                <w:color w:val="262626" w:themeColor="text1" w:themeTint="D9"/>
                <w14:textFill>
                  <w14:solidFill>
                    <w14:schemeClr w14:val="tx1">
                      <w14:lumMod w14:val="85000"/>
                      <w14:lumOff w14:val="15000"/>
                    </w14:schemeClr>
                  </w14:solidFill>
                </w14:textFill>
              </w:rPr>
              <w:t>7</w:t>
            </w:r>
            <w:r>
              <w:rPr>
                <w:b/>
                <w:color w:val="262626" w:themeColor="text1" w:themeTint="D9"/>
                <w:sz w:val="24"/>
                <w:szCs w:val="24"/>
                <w14:textFill>
                  <w14:solidFill>
                    <w14:schemeClr w14:val="tx1">
                      <w14:lumMod w14:val="85000"/>
                      <w14:lumOff w14:val="15000"/>
                    </w14:schemeClr>
                  </w14:solidFill>
                </w14:textFill>
              </w:rPr>
              <w:fldChar w:fldCharType="end"/>
            </w:r>
          </w:sdtContent>
        </w:sdt>
      </w:sdtContent>
    </w:sdt>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0"/>
      </w:tabs>
      <w:ind w:left="-485" w:leftChars="-202" w:right="-485" w:rightChars="-202"/>
      <w:jc w:val="left"/>
      <w:rPr>
        <w:sz w:val="24"/>
      </w:rPr>
    </w:pPr>
    <w:r>
      <w:rPr>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pPr>
      <w:pStyle w:val="9"/>
      <w:pBdr>
        <w:bottom w:val="none" w:color="auto" w:sz="0" w:space="0"/>
      </w:pBdr>
      <w:tabs>
        <w:tab w:val="left" w:pos="0"/>
      </w:tabs>
      <w:ind w:left="-485" w:leftChars="-202" w:right="-485" w:rightChars="-202"/>
      <w:rPr>
        <w:sz w:val="24"/>
      </w:rPr>
    </w:pPr>
  </w:p>
  <w:p>
    <w:pPr>
      <w:pStyle w:val="9"/>
      <w:pBdr>
        <w:bottom w:val="none" w:color="auto" w:sz="0" w:space="0"/>
      </w:pBdr>
      <w:tabs>
        <w:tab w:val="left" w:pos="0"/>
      </w:tabs>
      <w:ind w:left="-485" w:leftChars="-202" w:right="-485" w:rightChars="-202"/>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73710"/>
    <w:rsid w:val="000C2BD3"/>
    <w:rsid w:val="0012206D"/>
    <w:rsid w:val="00126ACD"/>
    <w:rsid w:val="0013390F"/>
    <w:rsid w:val="00187EAB"/>
    <w:rsid w:val="00192B17"/>
    <w:rsid w:val="001A6E3D"/>
    <w:rsid w:val="001C6B8F"/>
    <w:rsid w:val="00220ED1"/>
    <w:rsid w:val="00333109"/>
    <w:rsid w:val="00336BDD"/>
    <w:rsid w:val="003537DD"/>
    <w:rsid w:val="00396185"/>
    <w:rsid w:val="003F1024"/>
    <w:rsid w:val="00435B79"/>
    <w:rsid w:val="0043656B"/>
    <w:rsid w:val="00443C4C"/>
    <w:rsid w:val="00464338"/>
    <w:rsid w:val="004A5D84"/>
    <w:rsid w:val="004B1B1D"/>
    <w:rsid w:val="004F277C"/>
    <w:rsid w:val="00507E0F"/>
    <w:rsid w:val="00510F84"/>
    <w:rsid w:val="005136E2"/>
    <w:rsid w:val="00533DE9"/>
    <w:rsid w:val="005377A9"/>
    <w:rsid w:val="00563925"/>
    <w:rsid w:val="00586355"/>
    <w:rsid w:val="00590BF4"/>
    <w:rsid w:val="005D1679"/>
    <w:rsid w:val="00621B30"/>
    <w:rsid w:val="00644E9C"/>
    <w:rsid w:val="006E1D70"/>
    <w:rsid w:val="006E427E"/>
    <w:rsid w:val="00763706"/>
    <w:rsid w:val="007642A1"/>
    <w:rsid w:val="007822C5"/>
    <w:rsid w:val="00783043"/>
    <w:rsid w:val="00787826"/>
    <w:rsid w:val="0079112F"/>
    <w:rsid w:val="007C39B5"/>
    <w:rsid w:val="007F0292"/>
    <w:rsid w:val="00836C93"/>
    <w:rsid w:val="0084738A"/>
    <w:rsid w:val="00875B84"/>
    <w:rsid w:val="008774E7"/>
    <w:rsid w:val="0088227A"/>
    <w:rsid w:val="00883DA6"/>
    <w:rsid w:val="00884AFD"/>
    <w:rsid w:val="008C6854"/>
    <w:rsid w:val="00952572"/>
    <w:rsid w:val="0099662D"/>
    <w:rsid w:val="009B276C"/>
    <w:rsid w:val="009C4B3A"/>
    <w:rsid w:val="009D769A"/>
    <w:rsid w:val="009E62B1"/>
    <w:rsid w:val="00A464BE"/>
    <w:rsid w:val="00A54346"/>
    <w:rsid w:val="00A543CE"/>
    <w:rsid w:val="00A82315"/>
    <w:rsid w:val="00A82DDC"/>
    <w:rsid w:val="00A84C83"/>
    <w:rsid w:val="00AA08CA"/>
    <w:rsid w:val="00B0796E"/>
    <w:rsid w:val="00B219F3"/>
    <w:rsid w:val="00B312CC"/>
    <w:rsid w:val="00B770C8"/>
    <w:rsid w:val="00BC12F0"/>
    <w:rsid w:val="00BD3F1A"/>
    <w:rsid w:val="00BF0EF0"/>
    <w:rsid w:val="00C34778"/>
    <w:rsid w:val="00C42945"/>
    <w:rsid w:val="00C836ED"/>
    <w:rsid w:val="00C9655D"/>
    <w:rsid w:val="00CD1B1A"/>
    <w:rsid w:val="00CD316A"/>
    <w:rsid w:val="00CD72A5"/>
    <w:rsid w:val="00D273DA"/>
    <w:rsid w:val="00D961D5"/>
    <w:rsid w:val="00DA6619"/>
    <w:rsid w:val="00DC238A"/>
    <w:rsid w:val="00DD0365"/>
    <w:rsid w:val="00DD2BD0"/>
    <w:rsid w:val="00DE6BCC"/>
    <w:rsid w:val="00E114DD"/>
    <w:rsid w:val="00E1788E"/>
    <w:rsid w:val="00E47FB1"/>
    <w:rsid w:val="00E63B29"/>
    <w:rsid w:val="00E72A50"/>
    <w:rsid w:val="00E73367"/>
    <w:rsid w:val="00E7490E"/>
    <w:rsid w:val="00EC3F75"/>
    <w:rsid w:val="00ED2DE4"/>
    <w:rsid w:val="00F10CCD"/>
    <w:rsid w:val="00F12893"/>
    <w:rsid w:val="00F150F6"/>
    <w:rsid w:val="00F6062B"/>
    <w:rsid w:val="00FC7769"/>
    <w:rsid w:val="00FE69B6"/>
    <w:rsid w:val="00FF12E6"/>
    <w:rsid w:val="01430DF8"/>
    <w:rsid w:val="018F62C0"/>
    <w:rsid w:val="01AA3441"/>
    <w:rsid w:val="03A55162"/>
    <w:rsid w:val="07C75785"/>
    <w:rsid w:val="0B5321D8"/>
    <w:rsid w:val="0D4E0F6E"/>
    <w:rsid w:val="0F472117"/>
    <w:rsid w:val="10A776AF"/>
    <w:rsid w:val="13D46E99"/>
    <w:rsid w:val="153F18D7"/>
    <w:rsid w:val="15973191"/>
    <w:rsid w:val="15A4027A"/>
    <w:rsid w:val="15E0656F"/>
    <w:rsid w:val="16326DAE"/>
    <w:rsid w:val="1683141F"/>
    <w:rsid w:val="16C622B5"/>
    <w:rsid w:val="1A7B6602"/>
    <w:rsid w:val="1B5D69AB"/>
    <w:rsid w:val="1BEB2FF9"/>
    <w:rsid w:val="1DCF59C3"/>
    <w:rsid w:val="1EBE79A2"/>
    <w:rsid w:val="1EF476FF"/>
    <w:rsid w:val="20EF6A9D"/>
    <w:rsid w:val="214632A3"/>
    <w:rsid w:val="222D490D"/>
    <w:rsid w:val="22D0705A"/>
    <w:rsid w:val="23257AFC"/>
    <w:rsid w:val="27C64267"/>
    <w:rsid w:val="27D39DBA"/>
    <w:rsid w:val="2B154350"/>
    <w:rsid w:val="2E606F1D"/>
    <w:rsid w:val="2EFF7979"/>
    <w:rsid w:val="2F354206"/>
    <w:rsid w:val="2F6041E0"/>
    <w:rsid w:val="2F7BEAD0"/>
    <w:rsid w:val="2FDFCE54"/>
    <w:rsid w:val="2FFE78A3"/>
    <w:rsid w:val="2FFF9467"/>
    <w:rsid w:val="30475B18"/>
    <w:rsid w:val="30CA0DFB"/>
    <w:rsid w:val="316B7450"/>
    <w:rsid w:val="32B60E46"/>
    <w:rsid w:val="32E409B8"/>
    <w:rsid w:val="33E570C1"/>
    <w:rsid w:val="373F108A"/>
    <w:rsid w:val="379FC69B"/>
    <w:rsid w:val="37BF18B1"/>
    <w:rsid w:val="38FB1CD5"/>
    <w:rsid w:val="398A13F1"/>
    <w:rsid w:val="3AAE75BB"/>
    <w:rsid w:val="3AAF66F9"/>
    <w:rsid w:val="3BFBC189"/>
    <w:rsid w:val="3C4A18CB"/>
    <w:rsid w:val="3C777FA5"/>
    <w:rsid w:val="3D5B34A6"/>
    <w:rsid w:val="3FE68B67"/>
    <w:rsid w:val="3FF16C81"/>
    <w:rsid w:val="3FF76315"/>
    <w:rsid w:val="3FFF4581"/>
    <w:rsid w:val="41F7345D"/>
    <w:rsid w:val="45FA1B19"/>
    <w:rsid w:val="48636583"/>
    <w:rsid w:val="4A77BE95"/>
    <w:rsid w:val="4AFB4F84"/>
    <w:rsid w:val="4BDB335B"/>
    <w:rsid w:val="4C06723E"/>
    <w:rsid w:val="4D15BDD2"/>
    <w:rsid w:val="4DFF5767"/>
    <w:rsid w:val="4EDFA6F8"/>
    <w:rsid w:val="4EFF31DE"/>
    <w:rsid w:val="4F993905"/>
    <w:rsid w:val="528D5386"/>
    <w:rsid w:val="54C72D53"/>
    <w:rsid w:val="56D5C563"/>
    <w:rsid w:val="56DB2151"/>
    <w:rsid w:val="58B60E39"/>
    <w:rsid w:val="59ED84CB"/>
    <w:rsid w:val="59F1206D"/>
    <w:rsid w:val="5A7E174D"/>
    <w:rsid w:val="5A9E6130"/>
    <w:rsid w:val="5AF51B09"/>
    <w:rsid w:val="5BF555CE"/>
    <w:rsid w:val="5CC71804"/>
    <w:rsid w:val="5D63439F"/>
    <w:rsid w:val="5D692E42"/>
    <w:rsid w:val="5DF127B5"/>
    <w:rsid w:val="5DF54629"/>
    <w:rsid w:val="5DFCA8F8"/>
    <w:rsid w:val="5ED751D0"/>
    <w:rsid w:val="5EEA73E2"/>
    <w:rsid w:val="5F205E66"/>
    <w:rsid w:val="5FEDCB9E"/>
    <w:rsid w:val="5FF6D5B8"/>
    <w:rsid w:val="5FFDFF32"/>
    <w:rsid w:val="60674572"/>
    <w:rsid w:val="622A49BA"/>
    <w:rsid w:val="62A2343F"/>
    <w:rsid w:val="64F3A6DA"/>
    <w:rsid w:val="65BF3CC6"/>
    <w:rsid w:val="65FF92F4"/>
    <w:rsid w:val="66A212D6"/>
    <w:rsid w:val="67B34FD5"/>
    <w:rsid w:val="68A0502A"/>
    <w:rsid w:val="69C03FE3"/>
    <w:rsid w:val="6AF619C5"/>
    <w:rsid w:val="6B7E50B0"/>
    <w:rsid w:val="6BD05BD3"/>
    <w:rsid w:val="6DB7C9BC"/>
    <w:rsid w:val="6DEF4E8E"/>
    <w:rsid w:val="6DFF1E8B"/>
    <w:rsid w:val="6F8F9663"/>
    <w:rsid w:val="6F9E0E9D"/>
    <w:rsid w:val="6FDFCD85"/>
    <w:rsid w:val="701E4B4C"/>
    <w:rsid w:val="70415F27"/>
    <w:rsid w:val="70F66A93"/>
    <w:rsid w:val="7277651D"/>
    <w:rsid w:val="72BDA8C6"/>
    <w:rsid w:val="72ED3C13"/>
    <w:rsid w:val="72EEFD1C"/>
    <w:rsid w:val="72FF4A4A"/>
    <w:rsid w:val="7475538B"/>
    <w:rsid w:val="75C9256F"/>
    <w:rsid w:val="75CC5F0F"/>
    <w:rsid w:val="77B604C5"/>
    <w:rsid w:val="77EF7B23"/>
    <w:rsid w:val="77FFCAD9"/>
    <w:rsid w:val="78A204C2"/>
    <w:rsid w:val="78BA6B96"/>
    <w:rsid w:val="7A096692"/>
    <w:rsid w:val="7A7F3090"/>
    <w:rsid w:val="7AFFFE54"/>
    <w:rsid w:val="7B178E1E"/>
    <w:rsid w:val="7B7F3981"/>
    <w:rsid w:val="7B8759D7"/>
    <w:rsid w:val="7BDBEBC2"/>
    <w:rsid w:val="7BF60630"/>
    <w:rsid w:val="7C7BDD76"/>
    <w:rsid w:val="7CC03953"/>
    <w:rsid w:val="7CF44635"/>
    <w:rsid w:val="7CFDE750"/>
    <w:rsid w:val="7D3F5803"/>
    <w:rsid w:val="7D5B2F4B"/>
    <w:rsid w:val="7DFEAE1D"/>
    <w:rsid w:val="7DFF5C28"/>
    <w:rsid w:val="7E2E0E94"/>
    <w:rsid w:val="7E7939A8"/>
    <w:rsid w:val="7E7FC26B"/>
    <w:rsid w:val="7ECFC259"/>
    <w:rsid w:val="7EEE4060"/>
    <w:rsid w:val="7F39F172"/>
    <w:rsid w:val="7F9BA2F3"/>
    <w:rsid w:val="7FAC8E7C"/>
    <w:rsid w:val="7FAF390F"/>
    <w:rsid w:val="7FBC0ABE"/>
    <w:rsid w:val="7FFBA134"/>
    <w:rsid w:val="7FFECFB0"/>
    <w:rsid w:val="7FFFD52B"/>
    <w:rsid w:val="93EB06FC"/>
    <w:rsid w:val="97F71052"/>
    <w:rsid w:val="97FFE537"/>
    <w:rsid w:val="9BDF40BA"/>
    <w:rsid w:val="9FFD9C55"/>
    <w:rsid w:val="ADFF77A7"/>
    <w:rsid w:val="AF7F9F26"/>
    <w:rsid w:val="B6DF1E0F"/>
    <w:rsid w:val="B7377F3D"/>
    <w:rsid w:val="B92FF9B8"/>
    <w:rsid w:val="BE828C99"/>
    <w:rsid w:val="BED7AF92"/>
    <w:rsid w:val="BEFF4231"/>
    <w:rsid w:val="BF7FD73C"/>
    <w:rsid w:val="BFBEAF1D"/>
    <w:rsid w:val="BFCF296D"/>
    <w:rsid w:val="BFD7D9AC"/>
    <w:rsid w:val="CBAF1046"/>
    <w:rsid w:val="CFBF11C8"/>
    <w:rsid w:val="D779BA01"/>
    <w:rsid w:val="DD4DE44A"/>
    <w:rsid w:val="DDFF5A45"/>
    <w:rsid w:val="DED76CEA"/>
    <w:rsid w:val="DEEFDA8E"/>
    <w:rsid w:val="DF4E9C04"/>
    <w:rsid w:val="DF8F8E0B"/>
    <w:rsid w:val="DFCF3BC0"/>
    <w:rsid w:val="DFD73A02"/>
    <w:rsid w:val="DFF52600"/>
    <w:rsid w:val="DFFD4511"/>
    <w:rsid w:val="DFFFB870"/>
    <w:rsid w:val="E7757C2E"/>
    <w:rsid w:val="E77B18DB"/>
    <w:rsid w:val="E7FFB186"/>
    <w:rsid w:val="EAB7F052"/>
    <w:rsid w:val="EBAEE18B"/>
    <w:rsid w:val="EDFF7968"/>
    <w:rsid w:val="EEEE4E69"/>
    <w:rsid w:val="EEEF24FA"/>
    <w:rsid w:val="EF3F86AF"/>
    <w:rsid w:val="EFDBA0D8"/>
    <w:rsid w:val="F36C7936"/>
    <w:rsid w:val="F3BFB61B"/>
    <w:rsid w:val="F6FFA170"/>
    <w:rsid w:val="F8FD19D8"/>
    <w:rsid w:val="FBBDF5F2"/>
    <w:rsid w:val="FBFF99A8"/>
    <w:rsid w:val="FCBFA813"/>
    <w:rsid w:val="FDD75862"/>
    <w:rsid w:val="FDF3798C"/>
    <w:rsid w:val="FED69360"/>
    <w:rsid w:val="FEDB3FFF"/>
    <w:rsid w:val="FF3F9E20"/>
    <w:rsid w:val="FF7B94B3"/>
    <w:rsid w:val="FF7F6887"/>
    <w:rsid w:val="FF8BD70A"/>
    <w:rsid w:val="FF9FC905"/>
    <w:rsid w:val="FFDBA928"/>
    <w:rsid w:val="FFFF22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9"/>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4">
    <w:name w:val="annotation subject"/>
    <w:basedOn w:val="5"/>
    <w:next w:val="5"/>
    <w:link w:val="23"/>
    <w:unhideWhenUsed/>
    <w:qFormat/>
    <w:uiPriority w:val="99"/>
    <w:rPr>
      <w:b/>
      <w:bCs/>
    </w:rPr>
  </w:style>
  <w:style w:type="paragraph" w:styleId="5">
    <w:name w:val="annotation text"/>
    <w:basedOn w:val="1"/>
    <w:link w:val="22"/>
    <w:unhideWhenUsed/>
    <w:qFormat/>
    <w:uiPriority w:val="99"/>
  </w:style>
  <w:style w:type="paragraph" w:styleId="6">
    <w:name w:val="Date"/>
    <w:basedOn w:val="1"/>
    <w:next w:val="1"/>
    <w:link w:val="21"/>
    <w:unhideWhenUsed/>
    <w:qFormat/>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9">
    <w:name w:val="header"/>
    <w:basedOn w:val="1"/>
    <w:link w:val="16"/>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0">
    <w:name w:val="Subtitle"/>
    <w:basedOn w:val="1"/>
    <w:next w:val="1"/>
    <w:link w:val="20"/>
    <w:qFormat/>
    <w:uiPriority w:val="11"/>
    <w:pPr>
      <w:widowControl w:val="0"/>
      <w:spacing w:before="240" w:after="60" w:line="312" w:lineRule="auto"/>
      <w:jc w:val="center"/>
      <w:outlineLvl w:val="1"/>
    </w:pPr>
    <w:rPr>
      <w:rFonts w:asciiTheme="minorHAnsi" w:hAnsiTheme="minorHAnsi" w:eastAsiaTheme="minorEastAsia" w:cstheme="minorBidi"/>
      <w:b/>
      <w:bCs/>
      <w:kern w:val="28"/>
      <w:sz w:val="32"/>
      <w:szCs w:val="32"/>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styleId="13">
    <w:name w:val="annotation reference"/>
    <w:basedOn w:val="11"/>
    <w:unhideWhenUsed/>
    <w:qFormat/>
    <w:uiPriority w:val="99"/>
    <w:rPr>
      <w:sz w:val="21"/>
      <w:szCs w:val="21"/>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1"/>
    <w:link w:val="9"/>
    <w:qFormat/>
    <w:uiPriority w:val="99"/>
    <w:rPr>
      <w:sz w:val="18"/>
      <w:szCs w:val="18"/>
    </w:rPr>
  </w:style>
  <w:style w:type="character" w:customStyle="1" w:styleId="17">
    <w:name w:val="页脚 字符"/>
    <w:basedOn w:val="11"/>
    <w:link w:val="8"/>
    <w:qFormat/>
    <w:uiPriority w:val="99"/>
    <w:rPr>
      <w:sz w:val="18"/>
      <w:szCs w:val="18"/>
    </w:rPr>
  </w:style>
  <w:style w:type="character" w:customStyle="1" w:styleId="18">
    <w:name w:val="批注框文本 字符"/>
    <w:basedOn w:val="11"/>
    <w:link w:val="7"/>
    <w:semiHidden/>
    <w:qFormat/>
    <w:uiPriority w:val="99"/>
    <w:rPr>
      <w:sz w:val="18"/>
      <w:szCs w:val="18"/>
    </w:rPr>
  </w:style>
  <w:style w:type="character" w:customStyle="1" w:styleId="19">
    <w:name w:val="标题 1 字符"/>
    <w:basedOn w:val="11"/>
    <w:link w:val="2"/>
    <w:qFormat/>
    <w:uiPriority w:val="9"/>
    <w:rPr>
      <w:b/>
      <w:bCs/>
      <w:kern w:val="44"/>
      <w:sz w:val="44"/>
      <w:szCs w:val="44"/>
    </w:rPr>
  </w:style>
  <w:style w:type="character" w:customStyle="1" w:styleId="20">
    <w:name w:val="副标题 字符"/>
    <w:basedOn w:val="11"/>
    <w:link w:val="10"/>
    <w:qFormat/>
    <w:uiPriority w:val="11"/>
    <w:rPr>
      <w:b/>
      <w:bCs/>
      <w:kern w:val="28"/>
      <w:sz w:val="32"/>
      <w:szCs w:val="32"/>
    </w:rPr>
  </w:style>
  <w:style w:type="character" w:customStyle="1" w:styleId="21">
    <w:name w:val="日期 字符"/>
    <w:basedOn w:val="11"/>
    <w:link w:val="6"/>
    <w:semiHidden/>
    <w:qFormat/>
    <w:uiPriority w:val="99"/>
    <w:rPr>
      <w:rFonts w:ascii="宋体" w:hAnsi="宋体" w:cs="宋体"/>
      <w:sz w:val="24"/>
      <w:szCs w:val="24"/>
    </w:rPr>
  </w:style>
  <w:style w:type="character" w:customStyle="1" w:styleId="22">
    <w:name w:val="批注文字 字符"/>
    <w:basedOn w:val="11"/>
    <w:link w:val="5"/>
    <w:semiHidden/>
    <w:qFormat/>
    <w:uiPriority w:val="99"/>
    <w:rPr>
      <w:rFonts w:ascii="宋体" w:hAnsi="宋体" w:cs="宋体"/>
      <w:sz w:val="24"/>
      <w:szCs w:val="24"/>
    </w:rPr>
  </w:style>
  <w:style w:type="character" w:customStyle="1" w:styleId="23">
    <w:name w:val="批注主题 字符"/>
    <w:basedOn w:val="22"/>
    <w:link w:val="4"/>
    <w:semiHidden/>
    <w:qFormat/>
    <w:uiPriority w:val="99"/>
    <w:rPr>
      <w:rFonts w:ascii="宋体" w:hAnsi="宋体" w:cs="宋体"/>
      <w:b/>
      <w:bCs/>
      <w:sz w:val="24"/>
      <w:szCs w:val="24"/>
    </w:rPr>
  </w:style>
  <w:style w:type="character" w:customStyle="1" w:styleId="24">
    <w:name w:val="标题 2 字符"/>
    <w:basedOn w:val="11"/>
    <w:link w:val="3"/>
    <w:semiHidden/>
    <w:qFormat/>
    <w:uiPriority w:val="9"/>
    <w:rPr>
      <w:rFonts w:asciiTheme="majorHAnsi" w:hAnsiTheme="majorHAnsi" w:eastAsiaTheme="majorEastAsia" w:cstheme="majorBidi"/>
      <w:b/>
      <w:bCs/>
      <w:sz w:val="32"/>
      <w:szCs w:val="32"/>
    </w:rPr>
  </w:style>
  <w:style w:type="paragraph" w:customStyle="1" w:styleId="25">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419</Words>
  <Characters>2389</Characters>
  <Lines>19</Lines>
  <Paragraphs>5</Paragraphs>
  <ScaleCrop>false</ScaleCrop>
  <LinksUpToDate>false</LinksUpToDate>
  <CharactersWithSpaces>2803</CharactersWithSpaces>
  <Application>WPS Office_2.2.0.3563_F1E327BC-269C-435d-A152-05C5408002CA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2021-05-20T09:31:00Z</dcterms:created>
  <dc:creator>Administrator</dc:creator>
  <cp:lastModifiedBy>lizhaoyi</cp:lastModifiedBy>
  <cp:lastPrinted>2017-07-29T19:20:00Z</cp:lastPrinted>
  <dcterms:modified xsi:type="dcterms:W3CDTF">2021-05-20T22:13:46Z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2052-2.2.0.3563</vt:lpwstr>
  </property>
  <property fmtid="{D5CDD505-2E9C-101B-9397-08002B2CF9AE}" pid="3" name="ICV">
    <vt:lpwstr>C3A89545581742C786D8FA0A709BF718</vt:lpwstr>
  </property>
</Properties>
</file>